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42D" w:rsidRPr="00B241BC" w:rsidRDefault="0091242D" w:rsidP="0091242D">
      <w:pPr>
        <w:jc w:val="center"/>
        <w:rPr>
          <w:rFonts w:cs="Calibri"/>
          <w:b/>
        </w:rPr>
      </w:pPr>
      <w:r w:rsidRPr="00B241BC">
        <w:rPr>
          <w:rFonts w:cs="Calibri"/>
          <w:b/>
        </w:rPr>
        <w:t>DPTT Senior Officials Meeting (SOM)</w:t>
      </w:r>
    </w:p>
    <w:p w:rsidR="0091242D" w:rsidRPr="00B241BC" w:rsidRDefault="0091242D" w:rsidP="0091242D">
      <w:pPr>
        <w:jc w:val="center"/>
        <w:rPr>
          <w:rFonts w:cs="Calibri"/>
          <w:b/>
        </w:rPr>
      </w:pPr>
      <w:r>
        <w:rPr>
          <w:rFonts w:cs="Calibri"/>
          <w:b/>
        </w:rPr>
        <w:t>“What</w:t>
      </w:r>
      <w:r w:rsidRPr="00B241BC">
        <w:rPr>
          <w:rFonts w:cs="Calibri"/>
          <w:b/>
        </w:rPr>
        <w:t xml:space="preserve"> support to African Agriculture in </w:t>
      </w:r>
      <w:r>
        <w:rPr>
          <w:rFonts w:cs="Calibri"/>
          <w:b/>
        </w:rPr>
        <w:t xml:space="preserve">the </w:t>
      </w:r>
      <w:r w:rsidRPr="00B241BC">
        <w:rPr>
          <w:rFonts w:cs="Calibri"/>
          <w:b/>
        </w:rPr>
        <w:t xml:space="preserve">post-Malabo </w:t>
      </w:r>
      <w:proofErr w:type="gramStart"/>
      <w:r w:rsidRPr="00B241BC">
        <w:rPr>
          <w:rFonts w:cs="Calibri"/>
          <w:b/>
        </w:rPr>
        <w:t>context ?”</w:t>
      </w:r>
      <w:proofErr w:type="gramEnd"/>
    </w:p>
    <w:p w:rsidR="0091242D" w:rsidRPr="00B241BC" w:rsidRDefault="0091242D" w:rsidP="0091242D">
      <w:pPr>
        <w:jc w:val="center"/>
        <w:rPr>
          <w:rFonts w:cs="Calibri"/>
          <w:sz w:val="18"/>
        </w:rPr>
      </w:pPr>
      <w:proofErr w:type="gramStart"/>
      <w:r w:rsidRPr="00B241BC">
        <w:rPr>
          <w:rFonts w:cs="Calibri"/>
          <w:sz w:val="18"/>
        </w:rPr>
        <w:t>concept</w:t>
      </w:r>
      <w:proofErr w:type="gramEnd"/>
      <w:r w:rsidRPr="00B241BC">
        <w:rPr>
          <w:rFonts w:cs="Calibri"/>
          <w:sz w:val="18"/>
        </w:rPr>
        <w:t xml:space="preserve"> note v4</w:t>
      </w:r>
    </w:p>
    <w:p w:rsidR="0091242D" w:rsidRPr="00B241BC" w:rsidRDefault="0091242D" w:rsidP="0091242D">
      <w:pPr>
        <w:rPr>
          <w:rFonts w:cs="Calibri"/>
          <w:b/>
        </w:rPr>
      </w:pPr>
    </w:p>
    <w:p w:rsidR="0091242D" w:rsidRPr="00B241BC" w:rsidRDefault="0091242D" w:rsidP="0091242D">
      <w:pPr>
        <w:jc w:val="both"/>
        <w:rPr>
          <w:rFonts w:cs="Calibri"/>
          <w:b/>
        </w:rPr>
      </w:pPr>
      <w:r w:rsidRPr="00B241BC">
        <w:rPr>
          <w:rFonts w:cs="Calibri"/>
          <w:b/>
        </w:rPr>
        <w:t xml:space="preserve">Context of the SOM </w:t>
      </w:r>
    </w:p>
    <w:p w:rsidR="0091242D" w:rsidRPr="00B241BC" w:rsidRDefault="0091242D" w:rsidP="0091242D">
      <w:pPr>
        <w:jc w:val="both"/>
        <w:rPr>
          <w:rFonts w:cs="Calibri"/>
        </w:rPr>
      </w:pPr>
      <w:r w:rsidRPr="00B241BC">
        <w:rPr>
          <w:rFonts w:cs="Calibri"/>
        </w:rPr>
        <w:t>The Heads of State and Government of th</w:t>
      </w:r>
      <w:r>
        <w:rPr>
          <w:rFonts w:cs="Calibri"/>
        </w:rPr>
        <w:t>e African Union met in Malabo last June, on the t</w:t>
      </w:r>
      <w:r w:rsidRPr="00B241BC">
        <w:rPr>
          <w:rFonts w:cs="Calibri"/>
        </w:rPr>
        <w:t>heme of the African Year of Agriculture and Food Security: “</w:t>
      </w:r>
      <w:r w:rsidRPr="00B241BC">
        <w:rPr>
          <w:rFonts w:cs="Calibri"/>
          <w:b/>
          <w:i/>
        </w:rPr>
        <w:t>Transforming Africa's Agriculture for Shared Prosperity and Improved Livelihoods through Harnessing Opportunities for Inclusive Growth and Sustainable Development</w:t>
      </w:r>
      <w:r w:rsidRPr="00B241BC">
        <w:rPr>
          <w:rFonts w:cs="Calibri"/>
        </w:rPr>
        <w:t>”</w:t>
      </w:r>
      <w:r>
        <w:rPr>
          <w:rFonts w:cs="Calibri"/>
        </w:rPr>
        <w:t>. Also marking</w:t>
      </w:r>
      <w:r w:rsidRPr="00B241BC">
        <w:rPr>
          <w:rFonts w:cs="Calibri"/>
        </w:rPr>
        <w:t xml:space="preserve"> the 10th Anniversary of the Adoption of the Comprehensive Africa Agriculture Development Programme (CAADP / PDDAA), they adopted a standalone declaration on agriculture built around 8 main commitment (or recommitments) and a call for action.</w:t>
      </w:r>
    </w:p>
    <w:p w:rsidR="0091242D" w:rsidRPr="00B241BC" w:rsidRDefault="0091242D" w:rsidP="0091242D">
      <w:pPr>
        <w:jc w:val="both"/>
        <w:rPr>
          <w:rFonts w:cs="Calibri"/>
        </w:rPr>
      </w:pPr>
      <w:r w:rsidRPr="00B241BC">
        <w:rPr>
          <w:rFonts w:cs="Calibri"/>
        </w:rPr>
        <w:t>The principles and values of the CAADP programme were reiterated (African leadership, agriculture-led growth, regional complementarities, evidenced-based planning, dialogue with stakeholders, peer-review mechanisms</w:t>
      </w:r>
      <w:proofErr w:type="gramStart"/>
      <w:r w:rsidRPr="00B241BC">
        <w:rPr>
          <w:rFonts w:cs="Calibri"/>
        </w:rPr>
        <w:t>,...</w:t>
      </w:r>
      <w:proofErr w:type="gramEnd"/>
      <w:r w:rsidRPr="00B241BC">
        <w:rPr>
          <w:rFonts w:cs="Calibri"/>
        </w:rPr>
        <w:t>). Mutual accountability to actions and results will be reported within the CAADP Results Framework.</w:t>
      </w:r>
    </w:p>
    <w:p w:rsidR="0091242D" w:rsidRPr="00B241BC" w:rsidRDefault="0091242D" w:rsidP="0091242D">
      <w:pPr>
        <w:jc w:val="both"/>
        <w:rPr>
          <w:rFonts w:cs="Calibri"/>
        </w:rPr>
      </w:pPr>
      <w:r w:rsidRPr="00B241BC">
        <w:rPr>
          <w:rFonts w:cs="Calibri"/>
        </w:rPr>
        <w:t xml:space="preserve">The </w:t>
      </w:r>
      <w:proofErr w:type="spellStart"/>
      <w:r w:rsidRPr="00B241BC">
        <w:rPr>
          <w:rFonts w:cs="Calibri"/>
        </w:rPr>
        <w:t>HoS</w:t>
      </w:r>
      <w:proofErr w:type="spellEnd"/>
      <w:r w:rsidRPr="00B241BC">
        <w:rPr>
          <w:rFonts w:cs="Calibri"/>
        </w:rPr>
        <w:t xml:space="preserve"> recommitted to allocate at least 10% of public expenditure to agriculture in order to reach an annual agricultural GDP growth of at least 6%</w:t>
      </w:r>
      <w:r>
        <w:rPr>
          <w:rFonts w:cs="Calibri"/>
        </w:rPr>
        <w:t xml:space="preserve">. </w:t>
      </w:r>
      <w:r w:rsidRPr="00B241BC">
        <w:rPr>
          <w:rFonts w:cs="Calibri"/>
        </w:rPr>
        <w:t>Inclusive agricultural growth is e</w:t>
      </w:r>
      <w:r>
        <w:rPr>
          <w:rFonts w:cs="Calibri"/>
        </w:rPr>
        <w:t>xpected to reduce poverty and</w:t>
      </w:r>
      <w:r w:rsidRPr="00B241BC">
        <w:rPr>
          <w:rFonts w:cs="Calibri"/>
        </w:rPr>
        <w:t xml:space="preserve"> create job opportunities</w:t>
      </w:r>
      <w:r>
        <w:rPr>
          <w:rFonts w:cs="Calibri"/>
        </w:rPr>
        <w:t xml:space="preserve"> for</w:t>
      </w:r>
      <w:r w:rsidRPr="00B241BC">
        <w:rPr>
          <w:rFonts w:cs="Calibri"/>
        </w:rPr>
        <w:t xml:space="preserve"> youth in agricultural value chains.</w:t>
      </w:r>
    </w:p>
    <w:p w:rsidR="0091242D" w:rsidRPr="00B241BC" w:rsidRDefault="0091242D" w:rsidP="0091242D">
      <w:pPr>
        <w:jc w:val="both"/>
        <w:rPr>
          <w:rFonts w:cs="Calibri"/>
        </w:rPr>
      </w:pPr>
      <w:r w:rsidRPr="00B241BC">
        <w:rPr>
          <w:rFonts w:cs="Calibri"/>
        </w:rPr>
        <w:t>Doubling current agricultural productivity levels should end hunger in Africa by 2025 and reduce stunting and underweight</w:t>
      </w:r>
      <w:r>
        <w:rPr>
          <w:rFonts w:cs="Calibri"/>
        </w:rPr>
        <w:t>. A fur</w:t>
      </w:r>
      <w:r w:rsidRPr="00B241BC">
        <w:rPr>
          <w:rFonts w:cs="Calibri"/>
        </w:rPr>
        <w:t>ther goal is to enhance resilience of livelihoods and production systems to climate variability and other related risks.</w:t>
      </w:r>
    </w:p>
    <w:p w:rsidR="0091242D" w:rsidRPr="00B241BC" w:rsidRDefault="0091242D" w:rsidP="0091242D">
      <w:pPr>
        <w:jc w:val="both"/>
        <w:rPr>
          <w:rFonts w:cs="Calibri"/>
        </w:rPr>
      </w:pPr>
      <w:r w:rsidRPr="00B241BC">
        <w:rPr>
          <w:rFonts w:cs="Calibri"/>
        </w:rPr>
        <w:t xml:space="preserve">Intra-African trade in agricultural commodities and services will be boosted thanks to the </w:t>
      </w:r>
      <w:r>
        <w:rPr>
          <w:rFonts w:cs="Calibri"/>
        </w:rPr>
        <w:t>establishment of a</w:t>
      </w:r>
      <w:r w:rsidRPr="00B241BC">
        <w:rPr>
          <w:rFonts w:cs="Calibri"/>
        </w:rPr>
        <w:t xml:space="preserve"> Continental Free Trade Area and a Common external Tariff scheme.</w:t>
      </w:r>
    </w:p>
    <w:p w:rsidR="0091242D" w:rsidRPr="00B241BC" w:rsidRDefault="0091242D" w:rsidP="0091242D">
      <w:pPr>
        <w:jc w:val="both"/>
        <w:rPr>
          <w:rFonts w:cs="Calibri"/>
        </w:rPr>
      </w:pPr>
      <w:r w:rsidRPr="00B241BC">
        <w:rPr>
          <w:rFonts w:cs="Calibri"/>
        </w:rPr>
        <w:t xml:space="preserve">Finally, the </w:t>
      </w:r>
      <w:proofErr w:type="spellStart"/>
      <w:r w:rsidRPr="00B241BC">
        <w:rPr>
          <w:rFonts w:cs="Calibri"/>
        </w:rPr>
        <w:t>HoS</w:t>
      </w:r>
      <w:proofErr w:type="spellEnd"/>
      <w:r w:rsidRPr="00B241BC">
        <w:rPr>
          <w:rFonts w:cs="Calibri"/>
        </w:rPr>
        <w:t xml:space="preserve"> entreated Development Partners to rally and align their technical and financial support in a harmonised and coordinated manner to support the implementation of the Declaration.</w:t>
      </w:r>
    </w:p>
    <w:p w:rsidR="0091242D" w:rsidRPr="00B241BC" w:rsidRDefault="0091242D" w:rsidP="0091242D">
      <w:pPr>
        <w:jc w:val="both"/>
        <w:rPr>
          <w:rFonts w:cs="Calibri"/>
        </w:rPr>
      </w:pPr>
      <w:r>
        <w:rPr>
          <w:rFonts w:cs="Calibri"/>
        </w:rPr>
        <w:t xml:space="preserve">A </w:t>
      </w:r>
      <w:r w:rsidRPr="000C54AB">
        <w:rPr>
          <w:rFonts w:cs="Calibri"/>
        </w:rPr>
        <w:t xml:space="preserve">structured technical and political dialogue around CAADP already </w:t>
      </w:r>
      <w:r>
        <w:rPr>
          <w:rFonts w:cs="Calibri"/>
        </w:rPr>
        <w:t xml:space="preserve">takes place between </w:t>
      </w:r>
      <w:r w:rsidRPr="00B241BC">
        <w:rPr>
          <w:rFonts w:cs="Calibri"/>
        </w:rPr>
        <w:t>Development part</w:t>
      </w:r>
      <w:r>
        <w:rPr>
          <w:rFonts w:cs="Calibri"/>
        </w:rPr>
        <w:t>ners and African institutions. However, f</w:t>
      </w:r>
      <w:r w:rsidRPr="00B241BC">
        <w:rPr>
          <w:rFonts w:cs="Calibri"/>
        </w:rPr>
        <w:t xml:space="preserve">ollowing </w:t>
      </w:r>
      <w:r>
        <w:rPr>
          <w:rFonts w:cs="Calibri"/>
        </w:rPr>
        <w:t>the Malabo Declaration and</w:t>
      </w:r>
      <w:r w:rsidRPr="00B241BC">
        <w:rPr>
          <w:rFonts w:cs="Calibri"/>
        </w:rPr>
        <w:t xml:space="preserve"> </w:t>
      </w:r>
      <w:r>
        <w:rPr>
          <w:rFonts w:cs="Calibri"/>
        </w:rPr>
        <w:t>the strong commitments</w:t>
      </w:r>
      <w:r w:rsidRPr="00B241BC">
        <w:rPr>
          <w:rFonts w:cs="Calibri"/>
        </w:rPr>
        <w:t xml:space="preserve"> taken by African leaders, there is a need for donors to bring discuss</w:t>
      </w:r>
      <w:r>
        <w:rPr>
          <w:rFonts w:cs="Calibri"/>
        </w:rPr>
        <w:t>ions to a higher level with regards to how</w:t>
      </w:r>
      <w:r w:rsidRPr="00B241BC">
        <w:rPr>
          <w:rFonts w:cs="Calibri"/>
        </w:rPr>
        <w:t xml:space="preserve"> the imple</w:t>
      </w:r>
      <w:r>
        <w:rPr>
          <w:rFonts w:cs="Calibri"/>
        </w:rPr>
        <w:t>mentation of the Declaration could</w:t>
      </w:r>
      <w:r w:rsidRPr="00B241BC">
        <w:rPr>
          <w:rFonts w:cs="Calibri"/>
        </w:rPr>
        <w:t xml:space="preserve"> impact their strategic approaches in the next decade.</w:t>
      </w:r>
    </w:p>
    <w:p w:rsidR="0091242D" w:rsidRPr="00B241BC" w:rsidRDefault="0091242D" w:rsidP="0091242D">
      <w:pPr>
        <w:pBdr>
          <w:top w:val="single" w:sz="4" w:space="1" w:color="auto"/>
          <w:left w:val="single" w:sz="4" w:space="4" w:color="auto"/>
          <w:bottom w:val="single" w:sz="4" w:space="1" w:color="auto"/>
          <w:right w:val="single" w:sz="4" w:space="4" w:color="auto"/>
        </w:pBdr>
        <w:jc w:val="both"/>
        <w:rPr>
          <w:rFonts w:cs="Calibri"/>
          <w:b/>
        </w:rPr>
      </w:pPr>
      <w:r w:rsidRPr="00B241BC">
        <w:rPr>
          <w:rFonts w:cs="Calibri"/>
          <w:b/>
        </w:rPr>
        <w:t>Objective of the SOM</w:t>
      </w:r>
    </w:p>
    <w:p w:rsidR="0091242D" w:rsidRPr="00B241BC" w:rsidRDefault="0091242D" w:rsidP="0091242D">
      <w:pPr>
        <w:pBdr>
          <w:top w:val="single" w:sz="4" w:space="1" w:color="auto"/>
          <w:left w:val="single" w:sz="4" w:space="4" w:color="auto"/>
          <w:bottom w:val="single" w:sz="4" w:space="1" w:color="auto"/>
          <w:right w:val="single" w:sz="4" w:space="4" w:color="auto"/>
        </w:pBdr>
        <w:jc w:val="both"/>
        <w:rPr>
          <w:rFonts w:cs="Calibri"/>
          <w:b/>
        </w:rPr>
      </w:pPr>
      <w:r>
        <w:rPr>
          <w:rFonts w:cs="Calibri"/>
          <w:b/>
        </w:rPr>
        <w:t>I</w:t>
      </w:r>
      <w:r w:rsidRPr="007B6713">
        <w:rPr>
          <w:rFonts w:cs="Calibri"/>
          <w:b/>
        </w:rPr>
        <w:t xml:space="preserve">n response to the </w:t>
      </w:r>
      <w:r>
        <w:rPr>
          <w:rFonts w:cs="Calibri"/>
          <w:b/>
        </w:rPr>
        <w:t>Malabo Declaration</w:t>
      </w:r>
      <w:r w:rsidRPr="007B6713">
        <w:rPr>
          <w:rFonts w:cs="Calibri"/>
          <w:b/>
        </w:rPr>
        <w:t xml:space="preserve"> on agriculture</w:t>
      </w:r>
      <w:r>
        <w:rPr>
          <w:rFonts w:cs="Calibri"/>
          <w:b/>
        </w:rPr>
        <w:t>,</w:t>
      </w:r>
      <w:r w:rsidRPr="007B6713">
        <w:rPr>
          <w:rFonts w:cs="Calibri"/>
          <w:b/>
        </w:rPr>
        <w:t xml:space="preserve"> </w:t>
      </w:r>
      <w:r w:rsidRPr="00B241BC">
        <w:rPr>
          <w:rFonts w:cs="Calibri"/>
          <w:b/>
        </w:rPr>
        <w:t>t</w:t>
      </w:r>
      <w:r>
        <w:rPr>
          <w:rFonts w:cs="Calibri"/>
          <w:b/>
        </w:rPr>
        <w:t>he Donor</w:t>
      </w:r>
      <w:r w:rsidRPr="00B241BC">
        <w:rPr>
          <w:rFonts w:cs="Calibri"/>
          <w:b/>
        </w:rPr>
        <w:t xml:space="preserve"> community, incl</w:t>
      </w:r>
      <w:r>
        <w:rPr>
          <w:rFonts w:cs="Calibri"/>
          <w:b/>
        </w:rPr>
        <w:t>uding non-traditional donors,</w:t>
      </w:r>
      <w:r w:rsidRPr="00B241BC">
        <w:rPr>
          <w:rFonts w:cs="Calibri"/>
          <w:b/>
        </w:rPr>
        <w:t xml:space="preserve"> commit their institutions to orient their strategic objectives/approaches to support agriculture in Africa in the next 5-10 years.</w:t>
      </w:r>
    </w:p>
    <w:p w:rsidR="0091242D" w:rsidRPr="00B241BC" w:rsidRDefault="0091242D" w:rsidP="0091242D">
      <w:pPr>
        <w:jc w:val="both"/>
        <w:rPr>
          <w:rFonts w:cs="Calibri"/>
        </w:rPr>
      </w:pPr>
    </w:p>
    <w:p w:rsidR="0091242D" w:rsidRPr="00B241BC" w:rsidRDefault="0091242D" w:rsidP="0091242D">
      <w:pPr>
        <w:rPr>
          <w:rFonts w:cs="Calibri"/>
        </w:rPr>
      </w:pPr>
    </w:p>
    <w:p w:rsidR="0091242D" w:rsidRPr="00B241BC" w:rsidRDefault="0091242D" w:rsidP="0091242D">
      <w:pPr>
        <w:rPr>
          <w:rFonts w:cs="Calibri"/>
          <w:b/>
        </w:rPr>
      </w:pPr>
      <w:r w:rsidRPr="00B241BC">
        <w:rPr>
          <w:rFonts w:cs="Calibri"/>
          <w:b/>
        </w:rPr>
        <w:t>Agenda and key questions that could drive the discussions</w:t>
      </w:r>
    </w:p>
    <w:p w:rsidR="0091242D" w:rsidRPr="003D4299" w:rsidRDefault="0091242D" w:rsidP="0091242D">
      <w:pPr>
        <w:numPr>
          <w:ilvl w:val="0"/>
          <w:numId w:val="7"/>
        </w:numPr>
        <w:rPr>
          <w:rFonts w:cs="Calibri"/>
          <w:u w:val="single"/>
        </w:rPr>
      </w:pPr>
      <w:r w:rsidRPr="003D4299">
        <w:rPr>
          <w:rFonts w:cs="Calibri"/>
          <w:u w:val="single"/>
        </w:rPr>
        <w:t>Discuss CAADP as a forum to talk about policies on Agriculture &amp; Food security in Africa</w:t>
      </w:r>
    </w:p>
    <w:p w:rsidR="0091242D" w:rsidRPr="00B241BC" w:rsidRDefault="0091242D" w:rsidP="0091242D">
      <w:pPr>
        <w:numPr>
          <w:ilvl w:val="1"/>
          <w:numId w:val="7"/>
        </w:numPr>
        <w:rPr>
          <w:rFonts w:cs="Calibri"/>
        </w:rPr>
      </w:pPr>
      <w:r w:rsidRPr="00B241BC">
        <w:rPr>
          <w:rFonts w:cs="Calibri"/>
        </w:rPr>
        <w:t xml:space="preserve">Prepare the </w:t>
      </w:r>
      <w:r w:rsidRPr="00B241BC">
        <w:rPr>
          <w:rFonts w:cs="Calibri"/>
          <w:b/>
        </w:rPr>
        <w:t>messages we want to send to the African Union</w:t>
      </w:r>
      <w:r w:rsidRPr="00B241BC">
        <w:rPr>
          <w:rFonts w:cs="Calibri"/>
        </w:rPr>
        <w:t xml:space="preserve"> in order to respond to the Malabo</w:t>
      </w:r>
      <w:r w:rsidR="003D4299" w:rsidRPr="003D4299">
        <w:rPr>
          <w:rFonts w:cs="Calibri"/>
        </w:rPr>
        <w:t xml:space="preserve"> </w:t>
      </w:r>
      <w:r w:rsidR="003D4299" w:rsidRPr="00B241BC">
        <w:rPr>
          <w:rFonts w:cs="Calibri"/>
        </w:rPr>
        <w:t>Declaration</w:t>
      </w:r>
    </w:p>
    <w:p w:rsidR="0091242D" w:rsidRPr="00B241BC" w:rsidRDefault="0091242D" w:rsidP="0091242D">
      <w:pPr>
        <w:numPr>
          <w:ilvl w:val="2"/>
          <w:numId w:val="7"/>
        </w:numPr>
        <w:ind w:left="1843" w:hanging="284"/>
        <w:rPr>
          <w:rFonts w:cs="Calibri"/>
          <w:i/>
          <w:sz w:val="20"/>
        </w:rPr>
      </w:pPr>
      <w:r w:rsidRPr="00B241BC">
        <w:rPr>
          <w:rFonts w:cs="Calibri"/>
          <w:i/>
          <w:sz w:val="20"/>
        </w:rPr>
        <w:t xml:space="preserve">How far should we aim at a common position towards the </w:t>
      </w:r>
      <w:r w:rsidR="003D4299" w:rsidRPr="00B241BC">
        <w:rPr>
          <w:rFonts w:cs="Calibri"/>
          <w:i/>
          <w:sz w:val="20"/>
        </w:rPr>
        <w:t>Malabo</w:t>
      </w:r>
      <w:r w:rsidR="003D4299" w:rsidRPr="00B241BC">
        <w:rPr>
          <w:rFonts w:cs="Calibri"/>
          <w:i/>
          <w:sz w:val="20"/>
        </w:rPr>
        <w:t xml:space="preserve"> </w:t>
      </w:r>
      <w:r w:rsidRPr="00B241BC">
        <w:rPr>
          <w:rFonts w:cs="Calibri"/>
          <w:i/>
          <w:sz w:val="20"/>
        </w:rPr>
        <w:t>Declaration?</w:t>
      </w:r>
    </w:p>
    <w:p w:rsidR="0091242D" w:rsidRPr="00B241BC" w:rsidRDefault="0091242D" w:rsidP="0091242D">
      <w:pPr>
        <w:numPr>
          <w:ilvl w:val="2"/>
          <w:numId w:val="7"/>
        </w:numPr>
        <w:ind w:left="1843" w:hanging="284"/>
        <w:rPr>
          <w:rFonts w:cs="Calibri"/>
          <w:i/>
          <w:sz w:val="20"/>
        </w:rPr>
      </w:pPr>
      <w:r w:rsidRPr="00B241BC">
        <w:rPr>
          <w:rFonts w:cs="Calibri"/>
          <w:i/>
          <w:sz w:val="20"/>
        </w:rPr>
        <w:t xml:space="preserve">What key commitments do we expect from </w:t>
      </w:r>
      <w:r>
        <w:rPr>
          <w:rFonts w:cs="Calibri"/>
          <w:i/>
          <w:sz w:val="20"/>
        </w:rPr>
        <w:t>African Institutions</w:t>
      </w:r>
      <w:r w:rsidRPr="00B241BC">
        <w:rPr>
          <w:rFonts w:cs="Calibri"/>
          <w:i/>
          <w:sz w:val="20"/>
        </w:rPr>
        <w:t xml:space="preserve"> in </w:t>
      </w:r>
      <w:r>
        <w:rPr>
          <w:rFonts w:cs="Calibri"/>
          <w:i/>
          <w:sz w:val="20"/>
        </w:rPr>
        <w:t xml:space="preserve">relation to </w:t>
      </w:r>
      <w:r w:rsidRPr="00B241BC">
        <w:rPr>
          <w:rFonts w:cs="Calibri"/>
          <w:i/>
          <w:sz w:val="20"/>
        </w:rPr>
        <w:t xml:space="preserve">implementing the </w:t>
      </w:r>
      <w:r w:rsidR="003D4299" w:rsidRPr="00B241BC">
        <w:rPr>
          <w:rFonts w:cs="Calibri"/>
          <w:i/>
          <w:sz w:val="20"/>
        </w:rPr>
        <w:t>Malabo</w:t>
      </w:r>
      <w:r w:rsidR="003D4299" w:rsidRPr="00B241BC">
        <w:rPr>
          <w:rFonts w:cs="Calibri"/>
          <w:i/>
          <w:sz w:val="20"/>
        </w:rPr>
        <w:t xml:space="preserve"> </w:t>
      </w:r>
      <w:r w:rsidRPr="00B241BC">
        <w:rPr>
          <w:rFonts w:cs="Calibri"/>
          <w:i/>
          <w:sz w:val="20"/>
        </w:rPr>
        <w:t xml:space="preserve">Declaration? What are the conditions to scale up </w:t>
      </w:r>
      <w:r>
        <w:rPr>
          <w:rFonts w:cs="Calibri"/>
          <w:i/>
          <w:sz w:val="20"/>
        </w:rPr>
        <w:t xml:space="preserve">our </w:t>
      </w:r>
      <w:r w:rsidRPr="00B241BC">
        <w:rPr>
          <w:rFonts w:cs="Calibri"/>
          <w:i/>
          <w:sz w:val="20"/>
        </w:rPr>
        <w:t>support?</w:t>
      </w:r>
    </w:p>
    <w:p w:rsidR="0091242D" w:rsidRPr="00B241BC" w:rsidRDefault="0091242D" w:rsidP="0091242D">
      <w:pPr>
        <w:numPr>
          <w:ilvl w:val="1"/>
          <w:numId w:val="7"/>
        </w:numPr>
        <w:rPr>
          <w:rFonts w:cs="Calibri"/>
        </w:rPr>
      </w:pPr>
      <w:r w:rsidRPr="00B241BC">
        <w:rPr>
          <w:rFonts w:cs="Calibri"/>
        </w:rPr>
        <w:t xml:space="preserve">Discuss how to improve our </w:t>
      </w:r>
      <w:r w:rsidRPr="00B241BC">
        <w:rPr>
          <w:rFonts w:cs="Calibri"/>
          <w:b/>
        </w:rPr>
        <w:t>coordination</w:t>
      </w:r>
      <w:r w:rsidRPr="00B241BC">
        <w:rPr>
          <w:rFonts w:cs="Calibri"/>
        </w:rPr>
        <w:t xml:space="preserve"> at continental &amp; country level around African agriculture &amp; food security policies and capitalise on the existing initiatives</w:t>
      </w:r>
    </w:p>
    <w:p w:rsidR="0091242D" w:rsidRPr="00B241BC" w:rsidRDefault="0091242D" w:rsidP="0091242D">
      <w:pPr>
        <w:numPr>
          <w:ilvl w:val="2"/>
          <w:numId w:val="7"/>
        </w:numPr>
        <w:ind w:left="1843" w:hanging="284"/>
        <w:rPr>
          <w:rFonts w:cs="Calibri"/>
          <w:i/>
          <w:sz w:val="20"/>
        </w:rPr>
      </w:pPr>
      <w:r>
        <w:rPr>
          <w:rFonts w:cs="Calibri"/>
          <w:i/>
          <w:sz w:val="20"/>
        </w:rPr>
        <w:t>How do we link agricultural</w:t>
      </w:r>
      <w:r w:rsidRPr="00B241BC">
        <w:rPr>
          <w:rFonts w:cs="Calibri"/>
          <w:i/>
          <w:sz w:val="20"/>
        </w:rPr>
        <w:t xml:space="preserve"> transformation with a wider development agenda? How </w:t>
      </w:r>
      <w:r>
        <w:rPr>
          <w:rFonts w:cs="Calibri"/>
          <w:i/>
          <w:sz w:val="20"/>
        </w:rPr>
        <w:t>could the many existing initiatives (</w:t>
      </w:r>
      <w:r w:rsidRPr="00B241BC">
        <w:rPr>
          <w:rFonts w:cs="Calibri"/>
          <w:i/>
          <w:sz w:val="20"/>
        </w:rPr>
        <w:t xml:space="preserve">CAADP, G8 New Alliance, SUN, SHARE, AGIR, Zero Hunger, Feed The Future, </w:t>
      </w:r>
      <w:proofErr w:type="gramStart"/>
      <w:r w:rsidRPr="00B241BC">
        <w:rPr>
          <w:rFonts w:cs="Calibri"/>
          <w:i/>
          <w:sz w:val="20"/>
        </w:rPr>
        <w:t>GAFSP, …</w:t>
      </w:r>
      <w:r>
        <w:rPr>
          <w:rFonts w:cs="Calibri"/>
          <w:i/>
          <w:sz w:val="20"/>
        </w:rPr>
        <w:t>)</w:t>
      </w:r>
      <w:proofErr w:type="gramEnd"/>
      <w:r>
        <w:rPr>
          <w:rFonts w:cs="Calibri"/>
          <w:i/>
          <w:sz w:val="20"/>
        </w:rPr>
        <w:t xml:space="preserve"> be rationalised ?</w:t>
      </w:r>
    </w:p>
    <w:p w:rsidR="0091242D" w:rsidRPr="00B241BC" w:rsidRDefault="0091242D" w:rsidP="0091242D">
      <w:pPr>
        <w:numPr>
          <w:ilvl w:val="2"/>
          <w:numId w:val="7"/>
        </w:numPr>
        <w:ind w:left="1843" w:hanging="284"/>
        <w:rPr>
          <w:rFonts w:cs="Calibri"/>
          <w:i/>
          <w:sz w:val="20"/>
        </w:rPr>
      </w:pPr>
      <w:r w:rsidRPr="00B241BC">
        <w:rPr>
          <w:rFonts w:cs="Calibri"/>
          <w:i/>
          <w:sz w:val="20"/>
        </w:rPr>
        <w:t xml:space="preserve">How </w:t>
      </w:r>
      <w:r>
        <w:rPr>
          <w:rFonts w:cs="Calibri"/>
          <w:i/>
          <w:sz w:val="20"/>
        </w:rPr>
        <w:t xml:space="preserve">could we </w:t>
      </w:r>
      <w:r w:rsidRPr="00B241BC">
        <w:rPr>
          <w:rFonts w:cs="Calibri"/>
          <w:i/>
          <w:sz w:val="20"/>
        </w:rPr>
        <w:t>improve the coordination of our agencies (mapping) at continental</w:t>
      </w:r>
      <w:r>
        <w:rPr>
          <w:rFonts w:cs="Calibri"/>
          <w:i/>
          <w:sz w:val="20"/>
        </w:rPr>
        <w:t xml:space="preserve"> &amp; country level, particularly in terms of policy</w:t>
      </w:r>
      <w:r w:rsidRPr="00B241BC">
        <w:rPr>
          <w:rFonts w:cs="Calibri"/>
          <w:i/>
          <w:sz w:val="20"/>
        </w:rPr>
        <w:t>?</w:t>
      </w:r>
      <w:r>
        <w:rPr>
          <w:rFonts w:cs="Calibri"/>
          <w:i/>
          <w:sz w:val="20"/>
        </w:rPr>
        <w:t xml:space="preserve"> Think outside of the box?</w:t>
      </w:r>
    </w:p>
    <w:p w:rsidR="0091242D" w:rsidRPr="00B241BC" w:rsidRDefault="0091242D" w:rsidP="0091242D">
      <w:pPr>
        <w:numPr>
          <w:ilvl w:val="2"/>
          <w:numId w:val="7"/>
        </w:numPr>
        <w:ind w:left="1843" w:hanging="284"/>
        <w:rPr>
          <w:rFonts w:cs="Calibri"/>
          <w:i/>
          <w:sz w:val="20"/>
        </w:rPr>
      </w:pPr>
      <w:r w:rsidRPr="00B241BC">
        <w:rPr>
          <w:rFonts w:cs="Calibri"/>
          <w:i/>
          <w:sz w:val="20"/>
        </w:rPr>
        <w:t xml:space="preserve">What is our vision </w:t>
      </w:r>
      <w:r>
        <w:rPr>
          <w:rFonts w:cs="Calibri"/>
          <w:i/>
          <w:sz w:val="20"/>
        </w:rPr>
        <w:t>of Donor coordination in 2025 with respect to</w:t>
      </w:r>
      <w:r w:rsidRPr="00B241BC">
        <w:rPr>
          <w:rFonts w:cs="Calibri"/>
          <w:i/>
          <w:sz w:val="20"/>
        </w:rPr>
        <w:t xml:space="preserve"> support of </w:t>
      </w:r>
      <w:r>
        <w:rPr>
          <w:rFonts w:cs="Calibri"/>
          <w:i/>
          <w:sz w:val="20"/>
        </w:rPr>
        <w:t xml:space="preserve">African </w:t>
      </w:r>
      <w:proofErr w:type="gramStart"/>
      <w:r>
        <w:rPr>
          <w:rFonts w:cs="Calibri"/>
          <w:i/>
          <w:sz w:val="20"/>
        </w:rPr>
        <w:t xml:space="preserve">Agriculture </w:t>
      </w:r>
      <w:r w:rsidRPr="00B241BC">
        <w:rPr>
          <w:rFonts w:cs="Calibri"/>
          <w:i/>
          <w:sz w:val="20"/>
        </w:rPr>
        <w:t>?</w:t>
      </w:r>
      <w:proofErr w:type="gramEnd"/>
    </w:p>
    <w:p w:rsidR="0091242D" w:rsidRPr="003D4299" w:rsidRDefault="0091242D" w:rsidP="0091242D">
      <w:pPr>
        <w:numPr>
          <w:ilvl w:val="0"/>
          <w:numId w:val="7"/>
        </w:numPr>
        <w:rPr>
          <w:rFonts w:cs="Calibri"/>
          <w:u w:val="single"/>
        </w:rPr>
      </w:pPr>
      <w:r w:rsidRPr="003D4299">
        <w:rPr>
          <w:rFonts w:cs="Calibri"/>
          <w:u w:val="single"/>
        </w:rPr>
        <w:t xml:space="preserve">Discuss the financial assistance framework </w:t>
      </w:r>
    </w:p>
    <w:p w:rsidR="0091242D" w:rsidRPr="00B241BC" w:rsidRDefault="0091242D" w:rsidP="0091242D">
      <w:pPr>
        <w:numPr>
          <w:ilvl w:val="1"/>
          <w:numId w:val="7"/>
        </w:numPr>
        <w:rPr>
          <w:rFonts w:cs="Calibri"/>
        </w:rPr>
      </w:pPr>
      <w:r w:rsidRPr="00B241BC">
        <w:rPr>
          <w:rFonts w:cs="Calibri"/>
        </w:rPr>
        <w:t xml:space="preserve">Share views on how we </w:t>
      </w:r>
      <w:r>
        <w:rPr>
          <w:rFonts w:cs="Calibri"/>
        </w:rPr>
        <w:t xml:space="preserve">could </w:t>
      </w:r>
      <w:r w:rsidRPr="00B241BC">
        <w:rPr>
          <w:rFonts w:cs="Calibri"/>
        </w:rPr>
        <w:t xml:space="preserve">collectively </w:t>
      </w:r>
      <w:r w:rsidRPr="00B241BC">
        <w:rPr>
          <w:rFonts w:cs="Calibri"/>
          <w:b/>
        </w:rPr>
        <w:t>monitor and report</w:t>
      </w:r>
      <w:r w:rsidRPr="00B241BC">
        <w:rPr>
          <w:rFonts w:cs="Calibri"/>
        </w:rPr>
        <w:t xml:space="preserve"> the support to </w:t>
      </w:r>
      <w:r>
        <w:rPr>
          <w:rFonts w:cs="Calibri"/>
        </w:rPr>
        <w:t>the CAADP process /to AU Agricultural</w:t>
      </w:r>
      <w:r w:rsidRPr="00B241BC">
        <w:rPr>
          <w:rFonts w:cs="Calibri"/>
        </w:rPr>
        <w:t xml:space="preserve"> policies (alignment) </w:t>
      </w:r>
      <w:r>
        <w:rPr>
          <w:rFonts w:cs="Calibri"/>
        </w:rPr>
        <w:t>in the future</w:t>
      </w:r>
    </w:p>
    <w:p w:rsidR="0091242D" w:rsidRPr="00B241BC" w:rsidRDefault="0091242D" w:rsidP="0091242D">
      <w:pPr>
        <w:numPr>
          <w:ilvl w:val="2"/>
          <w:numId w:val="7"/>
        </w:numPr>
        <w:ind w:left="1843" w:hanging="284"/>
        <w:rPr>
          <w:rFonts w:cs="Calibri"/>
          <w:i/>
          <w:sz w:val="20"/>
        </w:rPr>
      </w:pPr>
      <w:r w:rsidRPr="00B241BC">
        <w:rPr>
          <w:rFonts w:cs="Calibri"/>
          <w:i/>
          <w:sz w:val="20"/>
        </w:rPr>
        <w:t>What is the significance of CAADP as a driver of our devel</w:t>
      </w:r>
      <w:r>
        <w:rPr>
          <w:rFonts w:cs="Calibri"/>
          <w:i/>
          <w:sz w:val="20"/>
        </w:rPr>
        <w:t>opment assistance to agricultural</w:t>
      </w:r>
      <w:r w:rsidRPr="00B241BC">
        <w:rPr>
          <w:rFonts w:cs="Calibri"/>
          <w:i/>
          <w:sz w:val="20"/>
        </w:rPr>
        <w:t xml:space="preserve"> development an</w:t>
      </w:r>
      <w:r>
        <w:rPr>
          <w:rFonts w:cs="Calibri"/>
          <w:i/>
          <w:sz w:val="20"/>
        </w:rPr>
        <w:t>d food and nutrition security?</w:t>
      </w:r>
    </w:p>
    <w:p w:rsidR="0091242D" w:rsidRPr="00B241BC" w:rsidRDefault="0091242D" w:rsidP="0091242D">
      <w:pPr>
        <w:numPr>
          <w:ilvl w:val="2"/>
          <w:numId w:val="7"/>
        </w:numPr>
        <w:ind w:left="1843" w:hanging="284"/>
        <w:rPr>
          <w:rFonts w:cs="Calibri"/>
          <w:i/>
          <w:sz w:val="20"/>
        </w:rPr>
      </w:pPr>
      <w:r w:rsidRPr="00B241BC">
        <w:rPr>
          <w:rFonts w:cs="Calibri"/>
          <w:i/>
          <w:sz w:val="20"/>
        </w:rPr>
        <w:t xml:space="preserve">How in future </w:t>
      </w:r>
      <w:r>
        <w:rPr>
          <w:rFonts w:cs="Calibri"/>
          <w:i/>
          <w:sz w:val="20"/>
        </w:rPr>
        <w:t xml:space="preserve">should we support the process </w:t>
      </w:r>
      <w:proofErr w:type="gramStart"/>
      <w:r>
        <w:rPr>
          <w:rFonts w:cs="Calibri"/>
          <w:i/>
          <w:sz w:val="20"/>
        </w:rPr>
        <w:t>collectively ?</w:t>
      </w:r>
      <w:proofErr w:type="gramEnd"/>
      <w:r>
        <w:rPr>
          <w:rFonts w:cs="Calibri"/>
          <w:i/>
          <w:sz w:val="20"/>
        </w:rPr>
        <w:t xml:space="preserve"> H</w:t>
      </w:r>
      <w:r w:rsidRPr="00B241BC">
        <w:rPr>
          <w:rFonts w:cs="Calibri"/>
          <w:i/>
          <w:sz w:val="20"/>
        </w:rPr>
        <w:t xml:space="preserve">ow </w:t>
      </w:r>
      <w:r>
        <w:rPr>
          <w:rFonts w:cs="Calibri"/>
          <w:i/>
          <w:sz w:val="20"/>
        </w:rPr>
        <w:t>should we align</w:t>
      </w:r>
      <w:r w:rsidRPr="00B241BC">
        <w:rPr>
          <w:rFonts w:cs="Calibri"/>
          <w:i/>
          <w:sz w:val="20"/>
        </w:rPr>
        <w:t xml:space="preserve">? </w:t>
      </w:r>
    </w:p>
    <w:p w:rsidR="0091242D" w:rsidRPr="00B241BC" w:rsidRDefault="0091242D" w:rsidP="0091242D">
      <w:pPr>
        <w:numPr>
          <w:ilvl w:val="2"/>
          <w:numId w:val="7"/>
        </w:numPr>
        <w:ind w:left="1843" w:hanging="284"/>
        <w:rPr>
          <w:rFonts w:cs="Calibri"/>
          <w:i/>
          <w:sz w:val="20"/>
        </w:rPr>
      </w:pPr>
      <w:r>
        <w:rPr>
          <w:rFonts w:cs="Calibri"/>
          <w:i/>
          <w:sz w:val="20"/>
        </w:rPr>
        <w:t>How</w:t>
      </w:r>
      <w:r w:rsidRPr="00B241BC">
        <w:rPr>
          <w:rFonts w:cs="Calibri"/>
          <w:i/>
          <w:sz w:val="20"/>
        </w:rPr>
        <w:t xml:space="preserve"> </w:t>
      </w:r>
      <w:r>
        <w:rPr>
          <w:rFonts w:cs="Calibri"/>
          <w:i/>
          <w:sz w:val="20"/>
        </w:rPr>
        <w:t>willing are we to go beyond</w:t>
      </w:r>
      <w:r w:rsidRPr="00B241BC">
        <w:rPr>
          <w:rFonts w:cs="Calibri"/>
          <w:i/>
          <w:sz w:val="20"/>
        </w:rPr>
        <w:t xml:space="preserve"> business-as-unusual? Do we need to put pressure on our own systems, at continental &amp; country </w:t>
      </w:r>
      <w:proofErr w:type="gramStart"/>
      <w:r w:rsidRPr="00B241BC">
        <w:rPr>
          <w:rFonts w:cs="Calibri"/>
          <w:i/>
          <w:sz w:val="20"/>
        </w:rPr>
        <w:t>level</w:t>
      </w:r>
      <w:r>
        <w:rPr>
          <w:rFonts w:cs="Calibri"/>
          <w:i/>
          <w:sz w:val="20"/>
        </w:rPr>
        <w:t xml:space="preserve"> </w:t>
      </w:r>
      <w:r w:rsidRPr="00B241BC">
        <w:rPr>
          <w:rFonts w:cs="Calibri"/>
          <w:i/>
          <w:sz w:val="20"/>
        </w:rPr>
        <w:t>?</w:t>
      </w:r>
      <w:proofErr w:type="gramEnd"/>
    </w:p>
    <w:p w:rsidR="0091242D" w:rsidRPr="00B241BC" w:rsidRDefault="0091242D" w:rsidP="0091242D">
      <w:pPr>
        <w:numPr>
          <w:ilvl w:val="1"/>
          <w:numId w:val="7"/>
        </w:numPr>
        <w:rPr>
          <w:rFonts w:cs="Calibri"/>
        </w:rPr>
      </w:pPr>
      <w:r>
        <w:rPr>
          <w:rFonts w:cs="Calibri"/>
        </w:rPr>
        <w:t>Discuss</w:t>
      </w:r>
      <w:r w:rsidRPr="00B241BC">
        <w:rPr>
          <w:rFonts w:cs="Calibri"/>
        </w:rPr>
        <w:t xml:space="preserve"> efficient financing </w:t>
      </w:r>
      <w:r w:rsidRPr="00B241BC">
        <w:rPr>
          <w:rFonts w:cs="Calibri"/>
          <w:b/>
        </w:rPr>
        <w:t>instruments at country and continental levels (MDTF-2)</w:t>
      </w:r>
    </w:p>
    <w:p w:rsidR="0091242D" w:rsidRPr="00B241BC" w:rsidRDefault="0091242D" w:rsidP="0091242D">
      <w:pPr>
        <w:numPr>
          <w:ilvl w:val="2"/>
          <w:numId w:val="7"/>
        </w:numPr>
        <w:ind w:left="1843" w:hanging="284"/>
        <w:rPr>
          <w:rFonts w:cs="Calibri"/>
          <w:i/>
        </w:rPr>
      </w:pPr>
      <w:r>
        <w:rPr>
          <w:rFonts w:cs="Calibri"/>
          <w:i/>
          <w:sz w:val="20"/>
        </w:rPr>
        <w:t xml:space="preserve">Pledge our support towards the CAADP </w:t>
      </w:r>
      <w:proofErr w:type="gramStart"/>
      <w:r>
        <w:rPr>
          <w:rFonts w:cs="Calibri"/>
          <w:i/>
          <w:sz w:val="20"/>
        </w:rPr>
        <w:t>MDTF2 :</w:t>
      </w:r>
      <w:proofErr w:type="gramEnd"/>
      <w:r>
        <w:rPr>
          <w:rFonts w:cs="Calibri"/>
          <w:i/>
          <w:sz w:val="20"/>
        </w:rPr>
        <w:t xml:space="preserve"> with</w:t>
      </w:r>
      <w:r w:rsidRPr="00B241BC">
        <w:rPr>
          <w:rFonts w:cs="Calibri"/>
          <w:i/>
          <w:sz w:val="20"/>
        </w:rPr>
        <w:t xml:space="preserve"> what </w:t>
      </w:r>
      <w:r>
        <w:rPr>
          <w:rFonts w:cs="Calibri"/>
          <w:i/>
          <w:sz w:val="20"/>
        </w:rPr>
        <w:t xml:space="preserve">intention </w:t>
      </w:r>
      <w:r w:rsidRPr="00B241BC">
        <w:rPr>
          <w:rFonts w:cs="Calibri"/>
          <w:i/>
          <w:sz w:val="20"/>
        </w:rPr>
        <w:t xml:space="preserve">? </w:t>
      </w:r>
      <w:r>
        <w:rPr>
          <w:rFonts w:cs="Calibri"/>
          <w:i/>
          <w:sz w:val="20"/>
        </w:rPr>
        <w:t>How far can we rely on</w:t>
      </w:r>
      <w:r w:rsidRPr="00B241BC">
        <w:rPr>
          <w:rFonts w:cs="Calibri"/>
          <w:i/>
          <w:sz w:val="20"/>
        </w:rPr>
        <w:t xml:space="preserve"> this instrument </w:t>
      </w:r>
      <w:r>
        <w:rPr>
          <w:rFonts w:cs="Calibri"/>
          <w:i/>
          <w:sz w:val="20"/>
        </w:rPr>
        <w:t>for implementing</w:t>
      </w:r>
      <w:r w:rsidRPr="00B241BC">
        <w:rPr>
          <w:rFonts w:cs="Calibri"/>
          <w:i/>
          <w:sz w:val="20"/>
        </w:rPr>
        <w:t xml:space="preserve"> the </w:t>
      </w:r>
      <w:r>
        <w:rPr>
          <w:rFonts w:cs="Calibri"/>
          <w:i/>
          <w:sz w:val="20"/>
        </w:rPr>
        <w:t xml:space="preserve">Malabo </w:t>
      </w:r>
      <w:proofErr w:type="gramStart"/>
      <w:r>
        <w:rPr>
          <w:rFonts w:cs="Calibri"/>
          <w:i/>
          <w:sz w:val="20"/>
        </w:rPr>
        <w:t xml:space="preserve">Declaration </w:t>
      </w:r>
      <w:r w:rsidRPr="00B241BC">
        <w:rPr>
          <w:rFonts w:cs="Calibri"/>
          <w:i/>
          <w:sz w:val="20"/>
        </w:rPr>
        <w:t>?</w:t>
      </w:r>
      <w:proofErr w:type="gramEnd"/>
    </w:p>
    <w:p w:rsidR="0091242D" w:rsidRPr="00B241BC" w:rsidRDefault="0091242D" w:rsidP="0091242D">
      <w:pPr>
        <w:jc w:val="both"/>
        <w:rPr>
          <w:rFonts w:cs="Calibri"/>
          <w:b/>
        </w:rPr>
      </w:pPr>
      <w:r w:rsidRPr="00B241BC">
        <w:rPr>
          <w:rFonts w:cs="Calibri"/>
          <w:b/>
        </w:rPr>
        <w:t>Schedule</w:t>
      </w:r>
    </w:p>
    <w:p w:rsidR="0091242D" w:rsidRPr="00B241BC" w:rsidRDefault="0091242D" w:rsidP="0091242D">
      <w:pPr>
        <w:jc w:val="both"/>
        <w:rPr>
          <w:rFonts w:cs="Calibri"/>
        </w:rPr>
      </w:pPr>
      <w:r>
        <w:rPr>
          <w:rFonts w:cs="Calibri"/>
        </w:rPr>
        <w:t>A side-event during the 2014 Annual Meeting</w:t>
      </w:r>
      <w:r w:rsidRPr="00B241BC">
        <w:rPr>
          <w:rFonts w:cs="Calibri"/>
        </w:rPr>
        <w:t xml:space="preserve"> of the Boards of Governors of the IMF and the</w:t>
      </w:r>
      <w:r>
        <w:rPr>
          <w:rFonts w:cs="Calibri"/>
        </w:rPr>
        <w:t xml:space="preserve"> World Bank Group in Washington</w:t>
      </w:r>
      <w:r w:rsidRPr="00B241BC">
        <w:rPr>
          <w:rFonts w:cs="Calibri"/>
        </w:rPr>
        <w:t xml:space="preserve"> D.C. on October 10–12</w:t>
      </w:r>
      <w:r>
        <w:rPr>
          <w:rFonts w:cs="Calibri"/>
        </w:rPr>
        <w:t>th</w:t>
      </w:r>
      <w:r w:rsidRPr="00B241BC">
        <w:rPr>
          <w:rFonts w:cs="Calibri"/>
        </w:rPr>
        <w:t>.</w:t>
      </w:r>
    </w:p>
    <w:p w:rsidR="0091242D" w:rsidRPr="00B241BC" w:rsidRDefault="0091242D" w:rsidP="0091242D">
      <w:pPr>
        <w:jc w:val="both"/>
        <w:rPr>
          <w:rFonts w:cs="Calibri"/>
        </w:rPr>
      </w:pPr>
      <w:r w:rsidRPr="00B241BC">
        <w:rPr>
          <w:rFonts w:cs="Calibri"/>
        </w:rPr>
        <w:t xml:space="preserve">The SOM will be organised jointly by the </w:t>
      </w:r>
      <w:r w:rsidR="003D4299" w:rsidRPr="00B241BC">
        <w:rPr>
          <w:rFonts w:cs="Calibri"/>
        </w:rPr>
        <w:t>European Union (Chair of the DPTT)</w:t>
      </w:r>
      <w:r w:rsidR="003D4299">
        <w:rPr>
          <w:rFonts w:cs="Calibri"/>
        </w:rPr>
        <w:t xml:space="preserve"> </w:t>
      </w:r>
      <w:r w:rsidR="003D4299" w:rsidRPr="00B241BC">
        <w:rPr>
          <w:rFonts w:cs="Calibri"/>
        </w:rPr>
        <w:t>and the</w:t>
      </w:r>
      <w:r w:rsidR="003D4299" w:rsidRPr="00B241BC">
        <w:rPr>
          <w:rFonts w:cs="Calibri"/>
        </w:rPr>
        <w:t xml:space="preserve"> </w:t>
      </w:r>
      <w:r w:rsidRPr="00B241BC">
        <w:rPr>
          <w:rFonts w:cs="Calibri"/>
        </w:rPr>
        <w:t>World Bank (host</w:t>
      </w:r>
      <w:r w:rsidR="003D4299">
        <w:rPr>
          <w:rFonts w:cs="Calibri"/>
        </w:rPr>
        <w:t xml:space="preserve"> and upcoming Chair</w:t>
      </w:r>
      <w:r w:rsidRPr="00B241BC">
        <w:rPr>
          <w:rFonts w:cs="Calibri"/>
        </w:rPr>
        <w:t>).</w:t>
      </w:r>
    </w:p>
    <w:p w:rsidR="0091242D" w:rsidRPr="00B241BC" w:rsidRDefault="0091242D" w:rsidP="0091242D">
      <w:pPr>
        <w:rPr>
          <w:rFonts w:cs="Calibri"/>
          <w:b/>
        </w:rPr>
      </w:pPr>
    </w:p>
    <w:p w:rsidR="0091242D" w:rsidRPr="00B241BC" w:rsidRDefault="0091242D" w:rsidP="0091242D">
      <w:pPr>
        <w:jc w:val="both"/>
        <w:rPr>
          <w:rFonts w:cs="Calibri"/>
          <w:b/>
        </w:rPr>
      </w:pPr>
      <w:r w:rsidRPr="00B241BC">
        <w:rPr>
          <w:rFonts w:cs="Calibri"/>
          <w:b/>
        </w:rPr>
        <w:t>(Possible) Outcomes of the SOM</w:t>
      </w:r>
    </w:p>
    <w:p w:rsidR="0091242D" w:rsidRPr="00B241BC" w:rsidRDefault="0091242D" w:rsidP="0091242D">
      <w:pPr>
        <w:pStyle w:val="PlainText"/>
        <w:numPr>
          <w:ilvl w:val="0"/>
          <w:numId w:val="8"/>
        </w:numPr>
        <w:spacing w:after="120"/>
        <w:ind w:left="714" w:hanging="357"/>
        <w:jc w:val="both"/>
        <w:rPr>
          <w:rFonts w:cs="Calibri"/>
          <w:szCs w:val="22"/>
          <w:u w:val="single"/>
        </w:rPr>
      </w:pPr>
      <w:r w:rsidRPr="00B241BC">
        <w:rPr>
          <w:rFonts w:cs="Calibri"/>
          <w:b/>
          <w:szCs w:val="22"/>
        </w:rPr>
        <w:t>Joint message to AU</w:t>
      </w:r>
      <w:r w:rsidRPr="00B241BC">
        <w:rPr>
          <w:rFonts w:cs="Calibri"/>
          <w:szCs w:val="22"/>
        </w:rPr>
        <w:t xml:space="preserve"> to react to the Summit Declaration. </w:t>
      </w:r>
      <w:r w:rsidRPr="00B241BC">
        <w:rPr>
          <w:rFonts w:cs="Calibri"/>
          <w:szCs w:val="22"/>
          <w:u w:val="single"/>
        </w:rPr>
        <w:t xml:space="preserve">Examples: </w:t>
      </w:r>
    </w:p>
    <w:p w:rsidR="0091242D" w:rsidRPr="00B241BC" w:rsidRDefault="0091242D" w:rsidP="0091242D">
      <w:pPr>
        <w:numPr>
          <w:ilvl w:val="1"/>
          <w:numId w:val="8"/>
        </w:numPr>
        <w:spacing w:after="120" w:line="240" w:lineRule="auto"/>
        <w:ind w:left="1434" w:hanging="357"/>
        <w:jc w:val="both"/>
        <w:rPr>
          <w:rFonts w:cs="Calibri"/>
        </w:rPr>
      </w:pPr>
      <w:r w:rsidRPr="00B241BC">
        <w:rPr>
          <w:rFonts w:cs="Calibri"/>
        </w:rPr>
        <w:t>Confirmation of our support to the CAADP process and to agriculture in Africa</w:t>
      </w:r>
    </w:p>
    <w:p w:rsidR="0091242D" w:rsidRPr="00B241BC" w:rsidRDefault="0091242D" w:rsidP="0091242D">
      <w:pPr>
        <w:numPr>
          <w:ilvl w:val="1"/>
          <w:numId w:val="8"/>
        </w:numPr>
        <w:spacing w:after="120" w:line="240" w:lineRule="auto"/>
        <w:ind w:left="1434" w:hanging="357"/>
        <w:jc w:val="both"/>
        <w:rPr>
          <w:rFonts w:cs="Calibri"/>
        </w:rPr>
      </w:pPr>
      <w:r w:rsidRPr="00B241BC">
        <w:rPr>
          <w:rFonts w:cs="Calibri"/>
        </w:rPr>
        <w:t xml:space="preserve">Support to the </w:t>
      </w:r>
      <w:r w:rsidR="003D4299" w:rsidRPr="00B241BC">
        <w:rPr>
          <w:rFonts w:cs="Calibri"/>
        </w:rPr>
        <w:t>Malabo</w:t>
      </w:r>
      <w:r w:rsidR="003D4299" w:rsidRPr="00B241BC">
        <w:rPr>
          <w:rFonts w:cs="Calibri"/>
        </w:rPr>
        <w:t xml:space="preserve"> </w:t>
      </w:r>
      <w:r w:rsidRPr="00B241BC">
        <w:rPr>
          <w:rFonts w:cs="Calibri"/>
        </w:rPr>
        <w:t>Declaration and the Implementation Roadmap: the next steps from Donors are …</w:t>
      </w:r>
    </w:p>
    <w:p w:rsidR="0091242D" w:rsidRPr="00B241BC" w:rsidRDefault="0091242D" w:rsidP="0091242D">
      <w:pPr>
        <w:numPr>
          <w:ilvl w:val="1"/>
          <w:numId w:val="8"/>
        </w:numPr>
        <w:spacing w:after="120" w:line="240" w:lineRule="auto"/>
        <w:ind w:left="1434" w:hanging="357"/>
        <w:jc w:val="both"/>
        <w:rPr>
          <w:rFonts w:cs="Calibri"/>
        </w:rPr>
      </w:pPr>
      <w:r w:rsidRPr="00B241BC">
        <w:rPr>
          <w:rFonts w:cs="Calibri"/>
        </w:rPr>
        <w:t>Commitment to specific programming &amp; financ</w:t>
      </w:r>
      <w:r>
        <w:rPr>
          <w:rFonts w:cs="Calibri"/>
        </w:rPr>
        <w:t>ing instruments: “scaling up</w:t>
      </w:r>
      <w:r w:rsidRPr="00B241BC">
        <w:rPr>
          <w:rFonts w:cs="Calibri"/>
        </w:rPr>
        <w:t xml:space="preserve"> financial</w:t>
      </w:r>
      <w:r>
        <w:rPr>
          <w:rFonts w:cs="Calibri"/>
        </w:rPr>
        <w:t xml:space="preserve"> commitments and co-funding”, “</w:t>
      </w:r>
      <w:r w:rsidRPr="00B241BC">
        <w:rPr>
          <w:rFonts w:cs="Calibri"/>
        </w:rPr>
        <w:t xml:space="preserve">policy level </w:t>
      </w:r>
      <w:r>
        <w:rPr>
          <w:rFonts w:cs="Calibri"/>
        </w:rPr>
        <w:t xml:space="preserve">approach </w:t>
      </w:r>
      <w:r w:rsidRPr="00B241BC">
        <w:rPr>
          <w:rFonts w:cs="Calibri"/>
        </w:rPr>
        <w:t>with</w:t>
      </w:r>
      <w:r>
        <w:rPr>
          <w:rFonts w:cs="Calibri"/>
        </w:rPr>
        <w:t xml:space="preserve"> budget support versus basket funding for</w:t>
      </w:r>
      <w:r w:rsidRPr="00B241BC">
        <w:rPr>
          <w:rFonts w:cs="Calibri"/>
        </w:rPr>
        <w:t xml:space="preserve"> progr</w:t>
      </w:r>
      <w:r>
        <w:rPr>
          <w:rFonts w:cs="Calibri"/>
        </w:rPr>
        <w:t>amme support</w:t>
      </w:r>
      <w:r w:rsidRPr="00B241BC">
        <w:rPr>
          <w:rFonts w:cs="Calibri"/>
        </w:rPr>
        <w:t>”, “r</w:t>
      </w:r>
      <w:r>
        <w:rPr>
          <w:rFonts w:cs="Calibri"/>
        </w:rPr>
        <w:t>evisiting instruments</w:t>
      </w:r>
      <w:r w:rsidRPr="00B241BC">
        <w:rPr>
          <w:rFonts w:cs="Calibri"/>
        </w:rPr>
        <w:t>” (including MDTF 2), …</w:t>
      </w:r>
    </w:p>
    <w:p w:rsidR="0091242D" w:rsidRPr="00B241BC" w:rsidRDefault="0091242D" w:rsidP="0091242D">
      <w:pPr>
        <w:pStyle w:val="PlainText"/>
        <w:numPr>
          <w:ilvl w:val="0"/>
          <w:numId w:val="8"/>
        </w:numPr>
        <w:spacing w:after="120"/>
        <w:ind w:left="714" w:hanging="357"/>
        <w:jc w:val="both"/>
        <w:rPr>
          <w:rFonts w:cs="Calibri"/>
          <w:szCs w:val="22"/>
          <w:u w:val="single"/>
        </w:rPr>
      </w:pPr>
      <w:r w:rsidRPr="00B241BC">
        <w:rPr>
          <w:rFonts w:cs="Calibri"/>
          <w:b/>
        </w:rPr>
        <w:t xml:space="preserve">List of </w:t>
      </w:r>
      <w:r w:rsidRPr="00B241BC">
        <w:rPr>
          <w:rFonts w:cs="Calibri"/>
          <w:b/>
          <w:szCs w:val="22"/>
        </w:rPr>
        <w:t>conditions</w:t>
      </w:r>
      <w:r w:rsidRPr="00B241BC">
        <w:rPr>
          <w:rFonts w:cs="Calibri"/>
          <w:szCs w:val="22"/>
        </w:rPr>
        <w:t xml:space="preserve"> to scale up support</w:t>
      </w:r>
      <w:r w:rsidRPr="00B241BC">
        <w:rPr>
          <w:rFonts w:cs="Calibri"/>
        </w:rPr>
        <w:t xml:space="preserve">. </w:t>
      </w:r>
      <w:r w:rsidRPr="00B241BC">
        <w:rPr>
          <w:rFonts w:cs="Calibri"/>
          <w:szCs w:val="22"/>
          <w:u w:val="single"/>
        </w:rPr>
        <w:t xml:space="preserve">Examples: </w:t>
      </w:r>
    </w:p>
    <w:p w:rsidR="0091242D" w:rsidRPr="00B241BC" w:rsidRDefault="0091242D" w:rsidP="0091242D">
      <w:pPr>
        <w:pStyle w:val="PlainText"/>
        <w:numPr>
          <w:ilvl w:val="1"/>
          <w:numId w:val="8"/>
        </w:numPr>
        <w:spacing w:after="120"/>
        <w:jc w:val="both"/>
        <w:rPr>
          <w:rFonts w:cs="Calibri"/>
          <w:szCs w:val="22"/>
        </w:rPr>
      </w:pPr>
      <w:r w:rsidRPr="00B241BC">
        <w:rPr>
          <w:rFonts w:cs="Calibri"/>
          <w:szCs w:val="22"/>
        </w:rPr>
        <w:t xml:space="preserve">Real appropriation of African member states on commitment (impact of Malabo in the countries) and consistency of </w:t>
      </w:r>
      <w:proofErr w:type="spellStart"/>
      <w:r w:rsidRPr="00B241BC">
        <w:rPr>
          <w:rFonts w:cs="Calibri"/>
          <w:szCs w:val="22"/>
        </w:rPr>
        <w:t>HoS</w:t>
      </w:r>
      <w:proofErr w:type="spellEnd"/>
      <w:r w:rsidRPr="00B241BC">
        <w:rPr>
          <w:rFonts w:cs="Calibri"/>
          <w:szCs w:val="22"/>
        </w:rPr>
        <w:t xml:space="preserve"> to respect existing commitments</w:t>
      </w:r>
    </w:p>
    <w:p w:rsidR="0091242D" w:rsidRPr="00B241BC" w:rsidRDefault="0091242D" w:rsidP="0091242D">
      <w:pPr>
        <w:pStyle w:val="PlainText"/>
        <w:numPr>
          <w:ilvl w:val="1"/>
          <w:numId w:val="8"/>
        </w:numPr>
        <w:spacing w:after="120"/>
        <w:jc w:val="both"/>
        <w:rPr>
          <w:rFonts w:cs="Calibri"/>
          <w:szCs w:val="22"/>
        </w:rPr>
      </w:pPr>
      <w:r>
        <w:rPr>
          <w:rFonts w:cs="Calibri"/>
          <w:szCs w:val="22"/>
        </w:rPr>
        <w:t>Build</w:t>
      </w:r>
      <w:r w:rsidRPr="00B241BC">
        <w:rPr>
          <w:rFonts w:cs="Calibri"/>
          <w:szCs w:val="22"/>
        </w:rPr>
        <w:t xml:space="preserve"> and capitalise on existing and working initiatives (</w:t>
      </w:r>
      <w:r>
        <w:rPr>
          <w:rFonts w:cs="Calibri"/>
          <w:szCs w:val="22"/>
        </w:rPr>
        <w:t xml:space="preserve">in </w:t>
      </w:r>
      <w:r w:rsidRPr="00B241BC">
        <w:rPr>
          <w:rFonts w:cs="Calibri"/>
          <w:szCs w:val="22"/>
        </w:rPr>
        <w:t>contexts where resources are already allocated)</w:t>
      </w:r>
    </w:p>
    <w:p w:rsidR="0091242D" w:rsidRPr="00B241BC" w:rsidRDefault="0091242D" w:rsidP="0091242D">
      <w:pPr>
        <w:pStyle w:val="PlainText"/>
        <w:numPr>
          <w:ilvl w:val="1"/>
          <w:numId w:val="8"/>
        </w:numPr>
        <w:spacing w:after="120"/>
        <w:jc w:val="both"/>
        <w:rPr>
          <w:rFonts w:cs="Calibri"/>
          <w:szCs w:val="22"/>
        </w:rPr>
      </w:pPr>
      <w:r>
        <w:rPr>
          <w:rFonts w:cs="Calibri"/>
          <w:szCs w:val="22"/>
        </w:rPr>
        <w:t>Investment plans linked to policy reform and harmonis</w:t>
      </w:r>
      <w:r w:rsidRPr="00B241BC">
        <w:rPr>
          <w:rFonts w:cs="Calibri"/>
          <w:szCs w:val="22"/>
        </w:rPr>
        <w:t>ation (agri</w:t>
      </w:r>
      <w:r>
        <w:rPr>
          <w:rFonts w:cs="Calibri"/>
          <w:szCs w:val="22"/>
        </w:rPr>
        <w:t>culture</w:t>
      </w:r>
      <w:r w:rsidRPr="00B241BC">
        <w:rPr>
          <w:rFonts w:cs="Calibri"/>
          <w:szCs w:val="22"/>
        </w:rPr>
        <w:t>, soc</w:t>
      </w:r>
      <w:r>
        <w:rPr>
          <w:rFonts w:cs="Calibri"/>
          <w:szCs w:val="22"/>
        </w:rPr>
        <w:t>ial affairs, finance</w:t>
      </w:r>
      <w:proofErr w:type="gramStart"/>
      <w:r w:rsidRPr="00B241BC">
        <w:rPr>
          <w:rFonts w:cs="Calibri"/>
          <w:szCs w:val="22"/>
        </w:rPr>
        <w:t>,…</w:t>
      </w:r>
      <w:proofErr w:type="gramEnd"/>
      <w:r w:rsidRPr="00B241BC">
        <w:rPr>
          <w:rFonts w:cs="Calibri"/>
          <w:szCs w:val="22"/>
        </w:rPr>
        <w:t xml:space="preserve">) </w:t>
      </w:r>
    </w:p>
    <w:p w:rsidR="0091242D" w:rsidRPr="00B241BC" w:rsidRDefault="0091242D" w:rsidP="0091242D">
      <w:pPr>
        <w:pStyle w:val="PlainText"/>
        <w:numPr>
          <w:ilvl w:val="1"/>
          <w:numId w:val="8"/>
        </w:numPr>
        <w:spacing w:after="120"/>
        <w:jc w:val="both"/>
        <w:rPr>
          <w:rFonts w:cs="Calibri"/>
          <w:szCs w:val="22"/>
        </w:rPr>
      </w:pPr>
      <w:r w:rsidRPr="00B241BC">
        <w:rPr>
          <w:rFonts w:cs="Calibri"/>
          <w:szCs w:val="22"/>
        </w:rPr>
        <w:t>Clarification of the interactions between CAADP and AUC-DREA/NEPAD flagship programmes</w:t>
      </w:r>
    </w:p>
    <w:p w:rsidR="0091242D" w:rsidRPr="00B241BC" w:rsidRDefault="0091242D" w:rsidP="0091242D">
      <w:pPr>
        <w:pStyle w:val="PlainText"/>
        <w:numPr>
          <w:ilvl w:val="1"/>
          <w:numId w:val="8"/>
        </w:numPr>
        <w:spacing w:after="120"/>
        <w:jc w:val="both"/>
        <w:rPr>
          <w:rFonts w:cs="Calibri"/>
          <w:szCs w:val="22"/>
        </w:rPr>
      </w:pPr>
      <w:r w:rsidRPr="00B241BC">
        <w:rPr>
          <w:rFonts w:cs="Calibri"/>
          <w:szCs w:val="22"/>
        </w:rPr>
        <w:t>Exit strategies and self-financing contribution</w:t>
      </w:r>
      <w:r>
        <w:rPr>
          <w:rFonts w:cs="Calibri"/>
          <w:szCs w:val="22"/>
        </w:rPr>
        <w:t>s</w:t>
      </w:r>
    </w:p>
    <w:p w:rsidR="0091242D" w:rsidRPr="00B241BC" w:rsidRDefault="0091242D" w:rsidP="0091242D">
      <w:pPr>
        <w:numPr>
          <w:ilvl w:val="0"/>
          <w:numId w:val="8"/>
        </w:numPr>
        <w:jc w:val="both"/>
        <w:rPr>
          <w:rFonts w:cs="Calibri"/>
        </w:rPr>
      </w:pPr>
      <w:r w:rsidRPr="00B241BC">
        <w:rPr>
          <w:rFonts w:cs="Calibri"/>
          <w:b/>
        </w:rPr>
        <w:t xml:space="preserve">Agreement between DPs </w:t>
      </w:r>
      <w:r w:rsidRPr="00B241BC">
        <w:rPr>
          <w:rFonts w:cs="Calibri"/>
        </w:rPr>
        <w:t xml:space="preserve">for a better transparency on bilateral activities in CAADP. </w:t>
      </w:r>
      <w:r w:rsidRPr="00B241BC">
        <w:rPr>
          <w:rFonts w:cs="Calibri"/>
          <w:u w:val="single"/>
        </w:rPr>
        <w:t>Examples:</w:t>
      </w:r>
    </w:p>
    <w:p w:rsidR="0091242D" w:rsidRPr="00B241BC" w:rsidRDefault="0091242D" w:rsidP="0091242D">
      <w:pPr>
        <w:numPr>
          <w:ilvl w:val="1"/>
          <w:numId w:val="8"/>
        </w:numPr>
        <w:jc w:val="both"/>
        <w:rPr>
          <w:rFonts w:cs="Calibri"/>
        </w:rPr>
      </w:pPr>
      <w:r w:rsidRPr="00B241BC">
        <w:rPr>
          <w:rFonts w:cs="Calibri"/>
        </w:rPr>
        <w:t>Agreement to use the AUC-DREA/NEPAD flagship program</w:t>
      </w:r>
      <w:r>
        <w:rPr>
          <w:rFonts w:cs="Calibri"/>
        </w:rPr>
        <w:t>me</w:t>
      </w:r>
      <w:r w:rsidRPr="00B241BC">
        <w:rPr>
          <w:rFonts w:cs="Calibri"/>
        </w:rPr>
        <w:t>s and the CAADP Result Framework to monitor alignment of bilateral support to regio</w:t>
      </w:r>
      <w:r>
        <w:rPr>
          <w:rFonts w:cs="Calibri"/>
        </w:rPr>
        <w:t>nal and continental agriculture</w:t>
      </w:r>
    </w:p>
    <w:p w:rsidR="0091242D" w:rsidRPr="00B241BC" w:rsidRDefault="0091242D" w:rsidP="0091242D">
      <w:pPr>
        <w:numPr>
          <w:ilvl w:val="1"/>
          <w:numId w:val="8"/>
        </w:numPr>
        <w:jc w:val="both"/>
        <w:rPr>
          <w:rFonts w:cs="Calibri"/>
        </w:rPr>
      </w:pPr>
      <w:r w:rsidRPr="00B241BC">
        <w:rPr>
          <w:rFonts w:cs="Calibri"/>
        </w:rPr>
        <w:t xml:space="preserve">Agreement </w:t>
      </w:r>
      <w:r>
        <w:rPr>
          <w:rFonts w:cs="Calibri"/>
        </w:rPr>
        <w:t xml:space="preserve">to encourage our national teams to coordinate and </w:t>
      </w:r>
      <w:r w:rsidRPr="00B241BC">
        <w:rPr>
          <w:rFonts w:cs="Calibri"/>
        </w:rPr>
        <w:t>use basket funds and join</w:t>
      </w:r>
      <w:r>
        <w:rPr>
          <w:rFonts w:cs="Calibri"/>
        </w:rPr>
        <w:t>t</w:t>
      </w:r>
      <w:r w:rsidRPr="00B241BC">
        <w:rPr>
          <w:rFonts w:cs="Calibri"/>
        </w:rPr>
        <w:t xml:space="preserve"> p</w:t>
      </w:r>
      <w:r>
        <w:rPr>
          <w:rFonts w:cs="Calibri"/>
        </w:rPr>
        <w:t>rogramming aligned on country</w:t>
      </w:r>
      <w:r w:rsidRPr="00B241BC">
        <w:rPr>
          <w:rFonts w:cs="Calibri"/>
        </w:rPr>
        <w:t xml:space="preserve"> priorities</w:t>
      </w:r>
    </w:p>
    <w:p w:rsidR="0091242D" w:rsidRPr="00B241BC" w:rsidRDefault="0091242D" w:rsidP="0091242D">
      <w:pPr>
        <w:numPr>
          <w:ilvl w:val="1"/>
          <w:numId w:val="8"/>
        </w:numPr>
        <w:jc w:val="both"/>
        <w:rPr>
          <w:rFonts w:cs="Calibri"/>
        </w:rPr>
      </w:pPr>
      <w:r w:rsidRPr="00B241BC">
        <w:rPr>
          <w:rFonts w:cs="Calibri"/>
        </w:rPr>
        <w:t xml:space="preserve">Agreement to endorse the tool </w:t>
      </w:r>
      <w:r w:rsidRPr="00B241BC">
        <w:rPr>
          <w:rFonts w:cs="Calibri"/>
          <w:i/>
        </w:rPr>
        <w:t>Capture the picture</w:t>
      </w:r>
      <w:r>
        <w:rPr>
          <w:rFonts w:cs="Calibri"/>
        </w:rPr>
        <w:t xml:space="preserve"> and to support</w:t>
      </w:r>
      <w:r w:rsidRPr="00B241BC">
        <w:rPr>
          <w:rFonts w:cs="Calibri"/>
        </w:rPr>
        <w:t xml:space="preserve"> it</w:t>
      </w:r>
      <w:r>
        <w:rPr>
          <w:rFonts w:cs="Calibri"/>
        </w:rPr>
        <w:t xml:space="preserve">s evolution from </w:t>
      </w:r>
      <w:r w:rsidRPr="00085DE1">
        <w:rPr>
          <w:rFonts w:cs="Calibri"/>
          <w:i/>
        </w:rPr>
        <w:t>picture</w:t>
      </w:r>
      <w:r>
        <w:rPr>
          <w:rFonts w:cs="Calibri"/>
        </w:rPr>
        <w:t xml:space="preserve"> to</w:t>
      </w:r>
      <w:r w:rsidRPr="00B241BC">
        <w:rPr>
          <w:rFonts w:cs="Calibri"/>
          <w:i/>
        </w:rPr>
        <w:t xml:space="preserve"> movie</w:t>
      </w:r>
      <w:r w:rsidRPr="00B241BC">
        <w:rPr>
          <w:rFonts w:cs="Calibri"/>
        </w:rPr>
        <w:t>, in order to reach the</w:t>
      </w:r>
      <w:r>
        <w:rPr>
          <w:rFonts w:cs="Calibri"/>
        </w:rPr>
        <w:t xml:space="preserve"> common vision for</w:t>
      </w:r>
      <w:r w:rsidRPr="00B241BC">
        <w:rPr>
          <w:rFonts w:cs="Calibri"/>
        </w:rPr>
        <w:t xml:space="preserve"> 2025</w:t>
      </w:r>
    </w:p>
    <w:p w:rsidR="0091242D" w:rsidRPr="00B241BC" w:rsidRDefault="0091242D" w:rsidP="0091242D">
      <w:pPr>
        <w:numPr>
          <w:ilvl w:val="1"/>
          <w:numId w:val="8"/>
        </w:numPr>
        <w:jc w:val="both"/>
        <w:rPr>
          <w:rFonts w:cs="Calibri"/>
        </w:rPr>
      </w:pPr>
      <w:r w:rsidRPr="00B241BC">
        <w:rPr>
          <w:rFonts w:cs="Calibri"/>
        </w:rPr>
        <w:t xml:space="preserve">Agreement to </w:t>
      </w:r>
      <w:r>
        <w:rPr>
          <w:rFonts w:cs="Calibri"/>
        </w:rPr>
        <w:t>report jointly as a group on DP</w:t>
      </w:r>
      <w:r w:rsidRPr="00B241BC">
        <w:rPr>
          <w:rFonts w:cs="Calibri"/>
        </w:rPr>
        <w:t xml:space="preserve"> contribution</w:t>
      </w:r>
      <w:r>
        <w:rPr>
          <w:rFonts w:cs="Calibri"/>
        </w:rPr>
        <w:t>s</w:t>
      </w:r>
      <w:r w:rsidRPr="00B241BC">
        <w:rPr>
          <w:rFonts w:cs="Calibri"/>
        </w:rPr>
        <w:t xml:space="preserve"> to the </w:t>
      </w:r>
      <w:r>
        <w:rPr>
          <w:rFonts w:cs="Calibri"/>
        </w:rPr>
        <w:t>Malabo Declaration Implementation Plan</w:t>
      </w:r>
    </w:p>
    <w:p w:rsidR="0091242D" w:rsidRPr="00B241BC" w:rsidRDefault="0091242D" w:rsidP="0091242D">
      <w:pPr>
        <w:pStyle w:val="PlainText"/>
        <w:numPr>
          <w:ilvl w:val="0"/>
          <w:numId w:val="8"/>
        </w:numPr>
        <w:jc w:val="both"/>
        <w:rPr>
          <w:rFonts w:cs="Calibri"/>
          <w:szCs w:val="22"/>
        </w:rPr>
      </w:pPr>
      <w:r w:rsidRPr="00B241BC">
        <w:rPr>
          <w:rFonts w:cs="Calibri"/>
          <w:b/>
          <w:szCs w:val="22"/>
        </w:rPr>
        <w:t xml:space="preserve">Highlight some agriculture transformation policies </w:t>
      </w:r>
      <w:r>
        <w:rPr>
          <w:rFonts w:cs="Calibri"/>
          <w:szCs w:val="22"/>
        </w:rPr>
        <w:t>which link</w:t>
      </w:r>
      <w:r w:rsidRPr="00B241BC">
        <w:rPr>
          <w:rFonts w:cs="Calibri"/>
          <w:b/>
          <w:szCs w:val="22"/>
        </w:rPr>
        <w:t xml:space="preserve"> </w:t>
      </w:r>
      <w:r>
        <w:rPr>
          <w:rFonts w:cs="Calibri"/>
          <w:szCs w:val="22"/>
        </w:rPr>
        <w:t>to</w:t>
      </w:r>
      <w:r w:rsidRPr="00B241BC">
        <w:rPr>
          <w:rFonts w:cs="Calibri"/>
          <w:szCs w:val="22"/>
        </w:rPr>
        <w:t xml:space="preserve"> a wider development agenda.</w:t>
      </w:r>
    </w:p>
    <w:p w:rsidR="0091242D" w:rsidRDefault="0091242D" w:rsidP="0091242D">
      <w:pPr>
        <w:rPr>
          <w:rFonts w:cs="Calibri"/>
        </w:rPr>
      </w:pPr>
    </w:p>
    <w:p w:rsidR="0091242D" w:rsidRPr="003F523F" w:rsidRDefault="0091242D" w:rsidP="0091242D">
      <w:pPr>
        <w:rPr>
          <w:rFonts w:cs="Calibri"/>
          <w:b/>
        </w:rPr>
      </w:pPr>
      <w:r w:rsidRPr="003F523F">
        <w:rPr>
          <w:rFonts w:cs="Calibri"/>
        </w:rPr>
        <w:br w:type="page"/>
      </w:r>
      <w:r w:rsidRPr="003F523F">
        <w:rPr>
          <w:rFonts w:cs="Calibri"/>
          <w:b/>
        </w:rPr>
        <w:lastRenderedPageBreak/>
        <w:t>Background</w:t>
      </w:r>
    </w:p>
    <w:p w:rsidR="0091242D" w:rsidRPr="003D1593" w:rsidRDefault="0091242D" w:rsidP="003D4299">
      <w:pPr>
        <w:jc w:val="both"/>
        <w:rPr>
          <w:rFonts w:cs="Calibri"/>
          <w:lang w:val="en-US"/>
        </w:rPr>
      </w:pPr>
      <w:r w:rsidRPr="003D1593">
        <w:rPr>
          <w:rFonts w:cs="Calibri"/>
          <w:lang w:val="en-US"/>
        </w:rPr>
        <w:t xml:space="preserve">CAADP is a political vision as well as a guiding framework to support African States in developing policies in terms of land management, access to markets, production / agricultural productivity, food crisis management and agronomical research. From a global point of view, CAADP is a general framework for planning agricultural and agro processing </w:t>
      </w:r>
      <w:proofErr w:type="gramStart"/>
      <w:r w:rsidRPr="003D1593">
        <w:rPr>
          <w:rFonts w:cs="Calibri"/>
          <w:lang w:val="en-US"/>
        </w:rPr>
        <w:t>policies which enables</w:t>
      </w:r>
      <w:proofErr w:type="gramEnd"/>
      <w:r w:rsidRPr="003D1593">
        <w:rPr>
          <w:rFonts w:cs="Calibri"/>
          <w:lang w:val="en-US"/>
        </w:rPr>
        <w:t xml:space="preserve"> to orientate government strategies and </w:t>
      </w:r>
      <w:proofErr w:type="spellStart"/>
      <w:r w:rsidRPr="003D1593">
        <w:rPr>
          <w:rFonts w:cs="Calibri"/>
          <w:lang w:val="en-US"/>
        </w:rPr>
        <w:t>operationalising</w:t>
      </w:r>
      <w:proofErr w:type="spellEnd"/>
      <w:r w:rsidRPr="003D1593">
        <w:rPr>
          <w:rFonts w:cs="Calibri"/>
          <w:lang w:val="en-US"/>
        </w:rPr>
        <w:t xml:space="preserve"> them through National Agricultural Investment Plans (NAIP).</w:t>
      </w:r>
    </w:p>
    <w:p w:rsidR="0091242D" w:rsidRPr="003D1593" w:rsidRDefault="0091242D" w:rsidP="003D4299">
      <w:pPr>
        <w:jc w:val="both"/>
        <w:rPr>
          <w:rFonts w:cs="Calibri"/>
          <w:lang w:val="en-US"/>
        </w:rPr>
      </w:pPr>
      <w:r w:rsidRPr="003D1593">
        <w:rPr>
          <w:rFonts w:cs="Calibri"/>
          <w:lang w:val="en-US"/>
        </w:rPr>
        <w:t>Ten years after its launch, CAADP takes stock of its influence on development and agricultural growth in Africa. The Heads of State (</w:t>
      </w:r>
      <w:proofErr w:type="spellStart"/>
      <w:r w:rsidRPr="003D1593">
        <w:rPr>
          <w:rFonts w:cs="Calibri"/>
          <w:lang w:val="en-US"/>
        </w:rPr>
        <w:t>HoS</w:t>
      </w:r>
      <w:proofErr w:type="spellEnd"/>
      <w:r w:rsidRPr="003D1593">
        <w:rPr>
          <w:rFonts w:cs="Calibri"/>
          <w:lang w:val="en-US"/>
        </w:rPr>
        <w:t>) have launched a new dynamic ("Malabo declaration"), on the basis of a Results Framework which fixes priority objectives and supports alignment and mutual accountability of the various partners in the process, from the national to the continental level. Key indicators are proposed in order to assess, every two years, the progress which will be made during the coming decade.</w:t>
      </w:r>
    </w:p>
    <w:p w:rsidR="0091242D" w:rsidRPr="00452A3C" w:rsidRDefault="0091242D" w:rsidP="003D4299">
      <w:pPr>
        <w:jc w:val="both"/>
        <w:rPr>
          <w:rFonts w:cs="Calibri"/>
          <w:lang w:val="en-US"/>
        </w:rPr>
      </w:pPr>
      <w:r w:rsidRPr="00452A3C">
        <w:rPr>
          <w:rFonts w:cs="Calibri"/>
          <w:lang w:val="en-US"/>
        </w:rPr>
        <w:t>The partnership between African authorities in charge of the CAADP process and the donors is generally operational at the country level.</w:t>
      </w:r>
      <w:r>
        <w:rPr>
          <w:rFonts w:cs="Calibri"/>
          <w:lang w:val="en-US"/>
        </w:rPr>
        <w:t xml:space="preserve"> An internal donor partnership is also active at the level of the ECOWAS region. The Development Partner group at the continental level ("DPTT"), informal but structured, is presently -and until March 2015- chaired by the European Union. The HQ of the main donors regularly </w:t>
      </w:r>
      <w:proofErr w:type="gramStart"/>
      <w:r>
        <w:rPr>
          <w:rFonts w:cs="Calibri"/>
          <w:lang w:val="en-US"/>
        </w:rPr>
        <w:t>exchange, mainly to share information related to their activities and establish</w:t>
      </w:r>
      <w:proofErr w:type="gramEnd"/>
      <w:r>
        <w:rPr>
          <w:rFonts w:cs="Calibri"/>
          <w:lang w:val="en-US"/>
        </w:rPr>
        <w:t xml:space="preserve"> concerted positions on subjects submitted by the African Union.</w:t>
      </w:r>
    </w:p>
    <w:p w:rsidR="0091242D" w:rsidRPr="00452A3C" w:rsidRDefault="0091242D" w:rsidP="003D4299">
      <w:pPr>
        <w:jc w:val="both"/>
        <w:rPr>
          <w:rFonts w:cs="Calibri"/>
          <w:lang w:val="en-US"/>
        </w:rPr>
      </w:pPr>
      <w:r w:rsidRPr="00452A3C">
        <w:rPr>
          <w:rFonts w:cs="Calibri"/>
          <w:lang w:val="en-US"/>
        </w:rPr>
        <w:t xml:space="preserve">These exchanges contribute to improve operational coordination, but one has to admit that despite participant motivation, their room for </w:t>
      </w:r>
      <w:proofErr w:type="spellStart"/>
      <w:r w:rsidRPr="00452A3C">
        <w:rPr>
          <w:rFonts w:cs="Calibri"/>
          <w:lang w:val="en-US"/>
        </w:rPr>
        <w:t>manoeuvre</w:t>
      </w:r>
      <w:proofErr w:type="spellEnd"/>
      <w:r>
        <w:rPr>
          <w:rFonts w:cs="Calibri"/>
          <w:lang w:val="en-US"/>
        </w:rPr>
        <w:t xml:space="preserve"> remains limited by the </w:t>
      </w:r>
      <w:proofErr w:type="spellStart"/>
      <w:r>
        <w:rPr>
          <w:rFonts w:cs="Calibri"/>
          <w:lang w:val="en-US"/>
        </w:rPr>
        <w:t>strategical</w:t>
      </w:r>
      <w:proofErr w:type="spellEnd"/>
      <w:r>
        <w:rPr>
          <w:rFonts w:cs="Calibri"/>
          <w:lang w:val="en-US"/>
        </w:rPr>
        <w:t xml:space="preserve"> constraints of their respective agencies when touching on proposals for more fundamental changes, such as some of those implied by the Malabo Declaration.</w:t>
      </w:r>
    </w:p>
    <w:p w:rsidR="0091242D" w:rsidRPr="00B241BC" w:rsidRDefault="0091242D" w:rsidP="003D4299">
      <w:pPr>
        <w:jc w:val="both"/>
        <w:rPr>
          <w:rFonts w:cs="Calibri"/>
          <w:b/>
        </w:rPr>
      </w:pPr>
      <w:r w:rsidRPr="00B241BC">
        <w:rPr>
          <w:rFonts w:cs="Calibri"/>
        </w:rPr>
        <w:t>The need for a higher level discussion between donor ag</w:t>
      </w:r>
      <w:r>
        <w:rPr>
          <w:rFonts w:cs="Calibri"/>
        </w:rPr>
        <w:t>encies has</w:t>
      </w:r>
      <w:r w:rsidRPr="00B241BC">
        <w:rPr>
          <w:rFonts w:cs="Calibri"/>
        </w:rPr>
        <w:t xml:space="preserve"> already </w:t>
      </w:r>
      <w:r>
        <w:rPr>
          <w:rFonts w:cs="Calibri"/>
        </w:rPr>
        <w:t xml:space="preserve">been </w:t>
      </w:r>
      <w:r w:rsidRPr="00B241BC">
        <w:rPr>
          <w:rFonts w:cs="Calibri"/>
        </w:rPr>
        <w:t>discussed during the last CAADP Partnership Platform in Durban and around the AU Ministerial meeting in Addis Ababa in April-May.</w:t>
      </w:r>
      <w:r w:rsidRPr="00B241BC">
        <w:rPr>
          <w:rFonts w:cs="Calibri"/>
          <w:b/>
        </w:rPr>
        <w:br w:type="page"/>
      </w:r>
      <w:r w:rsidRPr="00B241BC">
        <w:rPr>
          <w:rFonts w:cs="Calibri"/>
          <w:b/>
        </w:rPr>
        <w:lastRenderedPageBreak/>
        <w:t>Invitations</w:t>
      </w:r>
      <w:r w:rsidR="00055964">
        <w:rPr>
          <w:rFonts w:cs="Calibri"/>
          <w:b/>
        </w:rPr>
        <w:t xml:space="preserve"> (to be </w:t>
      </w:r>
      <w:r w:rsidR="005B5145">
        <w:rPr>
          <w:rFonts w:cs="Calibri"/>
          <w:b/>
        </w:rPr>
        <w:t xml:space="preserve">adapted / </w:t>
      </w:r>
      <w:r w:rsidR="00055964">
        <w:rPr>
          <w:rFonts w:cs="Calibri"/>
          <w:b/>
        </w:rPr>
        <w:t>completed)</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1447"/>
        <w:gridCol w:w="4394"/>
        <w:gridCol w:w="2659"/>
      </w:tblGrid>
      <w:tr w:rsidR="0091242D" w:rsidRPr="00B241BC" w:rsidTr="00FC1B8D">
        <w:trPr>
          <w:trHeight w:val="227"/>
        </w:trPr>
        <w:tc>
          <w:tcPr>
            <w:tcW w:w="788" w:type="dxa"/>
            <w:shd w:val="clear" w:color="auto" w:fill="EEECE1"/>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Pr>
                <w:rFonts w:eastAsia="Times New Roman" w:cs="Calibri"/>
                <w:color w:val="000000"/>
                <w:sz w:val="16"/>
                <w:szCs w:val="20"/>
                <w:lang w:eastAsia="en-GB"/>
              </w:rPr>
              <w:t>Country</w:t>
            </w:r>
          </w:p>
        </w:tc>
        <w:tc>
          <w:tcPr>
            <w:tcW w:w="1447" w:type="dxa"/>
            <w:shd w:val="clear" w:color="auto" w:fill="EEECE1"/>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institution acronym</w:t>
            </w:r>
          </w:p>
        </w:tc>
        <w:tc>
          <w:tcPr>
            <w:tcW w:w="4394" w:type="dxa"/>
            <w:shd w:val="clear" w:color="auto" w:fill="EEECE1"/>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institution name</w:t>
            </w:r>
          </w:p>
        </w:tc>
        <w:tc>
          <w:tcPr>
            <w:tcW w:w="2659" w:type="dxa"/>
            <w:shd w:val="clear" w:color="auto" w:fill="EEECE1"/>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Level / Name</w:t>
            </w: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AT</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ADA</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 xml:space="preserve">Austrian Development Agency (ADA) </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AU</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dfat.gov.au</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Australian</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BE</w:t>
            </w:r>
          </w:p>
        </w:tc>
        <w:tc>
          <w:tcPr>
            <w:tcW w:w="1447"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 xml:space="preserve">Min </w:t>
            </w:r>
            <w:proofErr w:type="spellStart"/>
            <w:r w:rsidRPr="00B241BC">
              <w:rPr>
                <w:rFonts w:eastAsia="Times New Roman" w:cs="Calibri"/>
                <w:color w:val="000000"/>
                <w:sz w:val="16"/>
                <w:szCs w:val="20"/>
                <w:lang w:eastAsia="en-GB"/>
              </w:rPr>
              <w:t>Aff</w:t>
            </w:r>
            <w:proofErr w:type="spellEnd"/>
            <w:r w:rsidRPr="00B241BC">
              <w:rPr>
                <w:rFonts w:eastAsia="Times New Roman" w:cs="Calibri"/>
                <w:color w:val="000000"/>
                <w:sz w:val="16"/>
                <w:szCs w:val="20"/>
                <w:lang w:eastAsia="en-GB"/>
              </w:rPr>
              <w:t xml:space="preserve"> </w:t>
            </w:r>
            <w:proofErr w:type="spellStart"/>
            <w:r w:rsidRPr="00B241BC">
              <w:rPr>
                <w:rFonts w:eastAsia="Times New Roman" w:cs="Calibri"/>
                <w:color w:val="000000"/>
                <w:sz w:val="16"/>
                <w:szCs w:val="20"/>
                <w:lang w:eastAsia="en-GB"/>
              </w:rPr>
              <w:t>Etr</w:t>
            </w:r>
            <w:proofErr w:type="spellEnd"/>
            <w:r w:rsidRPr="00B241BC">
              <w:rPr>
                <w:rFonts w:eastAsia="Times New Roman" w:cs="Calibri"/>
                <w:color w:val="000000"/>
                <w:sz w:val="16"/>
                <w:szCs w:val="20"/>
                <w:lang w:eastAsia="en-GB"/>
              </w:rPr>
              <w:t xml:space="preserve"> DGD</w:t>
            </w:r>
          </w:p>
        </w:tc>
        <w:tc>
          <w:tcPr>
            <w:tcW w:w="4394"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 xml:space="preserve">SPF Affaires </w:t>
            </w:r>
            <w:proofErr w:type="spellStart"/>
            <w:r w:rsidRPr="00B241BC">
              <w:rPr>
                <w:rFonts w:eastAsia="Times New Roman" w:cs="Calibri"/>
                <w:color w:val="000000"/>
                <w:sz w:val="16"/>
                <w:szCs w:val="20"/>
                <w:lang w:eastAsia="en-GB"/>
              </w:rPr>
              <w:t>Etrangères</w:t>
            </w:r>
            <w:proofErr w:type="spellEnd"/>
            <w:r w:rsidRPr="00B241BC">
              <w:rPr>
                <w:rFonts w:eastAsia="Times New Roman" w:cs="Calibri"/>
                <w:color w:val="000000"/>
                <w:sz w:val="16"/>
                <w:szCs w:val="20"/>
                <w:lang w:eastAsia="en-GB"/>
              </w:rPr>
              <w:t xml:space="preserve"> - DGD</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CA</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ACDI-CIDA.GC.CA</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Canadian International Development Agency (CIDA)</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CH</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SDC</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 xml:space="preserve">Swiss Agency for Development and Cooperation (SDC) </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FC1B8D" w:rsidP="007B4B09">
            <w:pPr>
              <w:spacing w:after="0" w:line="240" w:lineRule="auto"/>
              <w:contextualSpacing/>
              <w:rPr>
                <w:rFonts w:eastAsia="Times New Roman" w:cs="Calibri"/>
                <w:color w:val="000000"/>
                <w:sz w:val="16"/>
                <w:szCs w:val="20"/>
                <w:lang w:eastAsia="en-GB"/>
              </w:rPr>
            </w:pPr>
            <w:r>
              <w:rPr>
                <w:rFonts w:eastAsia="Times New Roman" w:cs="Calibri"/>
                <w:color w:val="000000"/>
                <w:sz w:val="16"/>
                <w:szCs w:val="20"/>
                <w:lang w:eastAsia="en-GB"/>
              </w:rPr>
              <w:t>DE</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roofErr w:type="spellStart"/>
            <w:r w:rsidRPr="00B241BC">
              <w:rPr>
                <w:rFonts w:eastAsia="Times New Roman" w:cs="Calibri"/>
                <w:color w:val="000000"/>
                <w:sz w:val="16"/>
                <w:szCs w:val="20"/>
                <w:lang w:eastAsia="en-GB"/>
              </w:rPr>
              <w:t>bmz</w:t>
            </w:r>
            <w:proofErr w:type="spellEnd"/>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lang w:eastAsia="en-GB"/>
              </w:rPr>
            </w:pP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DK</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UM.Dk</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 xml:space="preserve">Ministry of Foreign Affairs of Denmark (MFAD) </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vMerge w:val="restart"/>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ES</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maec.es</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vMerge/>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aecid.es</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EU</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DEVCO C1</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European Commission – Directorate General for Development (EC-DG DEV)</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 xml:space="preserve">Klaus </w:t>
            </w:r>
            <w:r w:rsidR="00055964" w:rsidRPr="00055964">
              <w:rPr>
                <w:rFonts w:eastAsia="Times New Roman" w:cs="Calibri"/>
                <w:color w:val="000000"/>
                <w:sz w:val="16"/>
                <w:szCs w:val="20"/>
                <w:lang w:eastAsia="en-GB"/>
              </w:rPr>
              <w:t>RUDISCHHAUSER</w:t>
            </w:r>
            <w:r w:rsidR="00055964" w:rsidRPr="00B241BC">
              <w:rPr>
                <w:rFonts w:eastAsia="Times New Roman" w:cs="Calibri"/>
                <w:color w:val="000000"/>
                <w:sz w:val="16"/>
                <w:szCs w:val="20"/>
                <w:lang w:eastAsia="en-GB"/>
              </w:rPr>
              <w:t xml:space="preserve"> </w:t>
            </w:r>
            <w:r w:rsidR="00055964" w:rsidRPr="00B241BC">
              <w:rPr>
                <w:rFonts w:eastAsia="Times New Roman" w:cs="Calibri"/>
                <w:color w:val="000000"/>
                <w:sz w:val="16"/>
                <w:szCs w:val="20"/>
                <w:lang w:eastAsia="en-GB"/>
              </w:rPr>
              <w:t>DDG</w:t>
            </w:r>
            <w:r w:rsidR="00055964">
              <w:rPr>
                <w:rFonts w:eastAsia="Times New Roman" w:cs="Calibri"/>
                <w:color w:val="000000"/>
                <w:sz w:val="16"/>
                <w:szCs w:val="20"/>
                <w:lang w:eastAsia="en-GB"/>
              </w:rPr>
              <w:t xml:space="preserve"> policy and thematic coordination </w:t>
            </w: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FIN</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formin.fi</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 xml:space="preserve">Ministry for Foreign Affairs of Finland (MFAF) </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vMerge w:val="restart"/>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FR</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recherche.gouv.fr</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vMerge/>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MAE</w:t>
            </w:r>
          </w:p>
        </w:tc>
        <w:tc>
          <w:tcPr>
            <w:tcW w:w="4394" w:type="dxa"/>
            <w:shd w:val="clear" w:color="auto" w:fill="auto"/>
            <w:vAlign w:val="center"/>
          </w:tcPr>
          <w:p w:rsidR="0091242D" w:rsidRPr="00B241BC" w:rsidRDefault="0091242D" w:rsidP="007B4B09">
            <w:pPr>
              <w:spacing w:after="0" w:line="240" w:lineRule="auto"/>
              <w:contextualSpacing/>
              <w:rPr>
                <w:rFonts w:eastAsia="Times New Roman" w:cs="Calibri"/>
                <w:sz w:val="16"/>
                <w:szCs w:val="20"/>
                <w:lang w:eastAsia="en-GB"/>
              </w:rPr>
            </w:pPr>
            <w:proofErr w:type="spellStart"/>
            <w:r w:rsidRPr="00B241BC">
              <w:rPr>
                <w:rFonts w:eastAsia="Times New Roman" w:cs="Calibri"/>
                <w:sz w:val="16"/>
                <w:szCs w:val="20"/>
                <w:lang w:eastAsia="en-GB"/>
              </w:rPr>
              <w:t>Ministère</w:t>
            </w:r>
            <w:proofErr w:type="spellEnd"/>
            <w:r w:rsidRPr="00B241BC">
              <w:rPr>
                <w:rFonts w:eastAsia="Times New Roman" w:cs="Calibri"/>
                <w:sz w:val="16"/>
                <w:szCs w:val="20"/>
                <w:lang w:eastAsia="en-GB"/>
              </w:rPr>
              <w:t xml:space="preserve"> des affaires </w:t>
            </w:r>
            <w:proofErr w:type="spellStart"/>
            <w:r w:rsidRPr="00B241BC">
              <w:rPr>
                <w:rFonts w:eastAsia="Times New Roman" w:cs="Calibri"/>
                <w:sz w:val="16"/>
                <w:szCs w:val="20"/>
                <w:lang w:eastAsia="en-GB"/>
              </w:rPr>
              <w:t>étrangères</w:t>
            </w:r>
            <w:proofErr w:type="spellEnd"/>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IE</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dfa.ie</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Irish Aid Department of Foreign Affairs</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IT</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MFE</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 xml:space="preserve">Italian Ministry of Finance and Economy (MFE) </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JP</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jica.go.jp</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3F523F"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LU</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MAE Lu</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val="fr-BE" w:eastAsia="en-GB"/>
              </w:rPr>
            </w:pPr>
            <w:r w:rsidRPr="00B241BC">
              <w:rPr>
                <w:rFonts w:eastAsia="Times New Roman" w:cs="Calibri"/>
                <w:sz w:val="16"/>
                <w:szCs w:val="20"/>
                <w:lang w:val="fr-BE" w:eastAsia="en-GB"/>
              </w:rPr>
              <w:t>Ministère des Affaires Étrangères - Direction de la Coopération au Développemen</w:t>
            </w:r>
            <w:bookmarkStart w:id="0" w:name="_GoBack"/>
            <w:bookmarkEnd w:id="0"/>
            <w:r w:rsidRPr="00B241BC">
              <w:rPr>
                <w:rFonts w:eastAsia="Times New Roman" w:cs="Calibri"/>
                <w:sz w:val="16"/>
                <w:szCs w:val="20"/>
                <w:lang w:val="fr-BE" w:eastAsia="en-GB"/>
              </w:rPr>
              <w:t>t</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val="fr-BE"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NL</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minbuza.nl</w:t>
            </w:r>
          </w:p>
        </w:tc>
        <w:tc>
          <w:tcPr>
            <w:tcW w:w="4394" w:type="dxa"/>
            <w:shd w:val="clear" w:color="auto" w:fill="auto"/>
            <w:noWrap/>
            <w:vAlign w:val="center"/>
            <w:hideMark/>
          </w:tcPr>
          <w:p w:rsidR="0091242D" w:rsidRPr="005B5145" w:rsidRDefault="0091242D" w:rsidP="007B4B09">
            <w:pPr>
              <w:spacing w:after="0" w:line="240" w:lineRule="auto"/>
              <w:contextualSpacing/>
              <w:rPr>
                <w:rFonts w:eastAsia="Times New Roman" w:cs="Calibri"/>
                <w:bCs/>
                <w:sz w:val="16"/>
                <w:szCs w:val="20"/>
                <w:lang w:eastAsia="en-GB"/>
              </w:rPr>
            </w:pPr>
            <w:r w:rsidRPr="005B5145">
              <w:rPr>
                <w:rFonts w:eastAsia="Times New Roman" w:cs="Calibri"/>
                <w:bCs/>
                <w:sz w:val="16"/>
                <w:szCs w:val="20"/>
                <w:lang w:eastAsia="en-GB"/>
              </w:rPr>
              <w:t xml:space="preserve">Ministry of Foreign Affairs - The Netherlands (NMFA) </w:t>
            </w:r>
          </w:p>
        </w:tc>
        <w:tc>
          <w:tcPr>
            <w:tcW w:w="2659" w:type="dxa"/>
            <w:shd w:val="clear" w:color="auto" w:fill="auto"/>
          </w:tcPr>
          <w:p w:rsidR="0091242D" w:rsidRPr="00B241BC" w:rsidRDefault="0091242D" w:rsidP="007B4B09">
            <w:pPr>
              <w:spacing w:after="0" w:line="240" w:lineRule="auto"/>
              <w:contextualSpacing/>
              <w:rPr>
                <w:rFonts w:eastAsia="Times New Roman" w:cs="Calibri"/>
                <w:b/>
                <w:bCs/>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 xml:space="preserve">NO </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MFA No</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 xml:space="preserve">Ministry of Foreign Affairs - Norway (MFAN) </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SE</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sida.se</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Swedish International Development Cooperation Agency (</w:t>
            </w:r>
            <w:proofErr w:type="spellStart"/>
            <w:r w:rsidRPr="00B241BC">
              <w:rPr>
                <w:rFonts w:eastAsia="Times New Roman" w:cs="Calibri"/>
                <w:sz w:val="16"/>
                <w:szCs w:val="20"/>
                <w:lang w:eastAsia="en-GB"/>
              </w:rPr>
              <w:t>Sida</w:t>
            </w:r>
            <w:proofErr w:type="spellEnd"/>
            <w:r w:rsidRPr="00B241BC">
              <w:rPr>
                <w:rFonts w:eastAsia="Times New Roman" w:cs="Calibri"/>
                <w:sz w:val="16"/>
                <w:szCs w:val="20"/>
                <w:lang w:eastAsia="en-GB"/>
              </w:rPr>
              <w:t xml:space="preserve">)  </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UK</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dfid.gov.uk</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 xml:space="preserve">Department for International Development (DFID) </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USA</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usaid.gov</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 xml:space="preserve">United States Agency for </w:t>
            </w:r>
            <w:r w:rsidR="00015195" w:rsidRPr="00B241BC">
              <w:rPr>
                <w:rFonts w:eastAsia="Times New Roman" w:cs="Calibri"/>
                <w:sz w:val="16"/>
                <w:szCs w:val="20"/>
                <w:lang w:eastAsia="en-GB"/>
              </w:rPr>
              <w:t>International</w:t>
            </w:r>
            <w:r w:rsidRPr="00B241BC">
              <w:rPr>
                <w:rFonts w:eastAsia="Times New Roman" w:cs="Calibri"/>
                <w:sz w:val="16"/>
                <w:szCs w:val="20"/>
                <w:lang w:eastAsia="en-GB"/>
              </w:rPr>
              <w:t xml:space="preserve"> Development (USAID)  </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USA</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BMGF</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 xml:space="preserve">Gates </w:t>
            </w:r>
            <w:r w:rsidR="00015195" w:rsidRPr="00B241BC">
              <w:rPr>
                <w:rFonts w:eastAsia="Times New Roman" w:cs="Calibri"/>
                <w:color w:val="000000"/>
                <w:sz w:val="16"/>
                <w:szCs w:val="20"/>
                <w:lang w:eastAsia="en-GB"/>
              </w:rPr>
              <w:t>foundation</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proofErr w:type="spellStart"/>
            <w:r w:rsidRPr="00B241BC">
              <w:rPr>
                <w:rFonts w:eastAsia="Times New Roman" w:cs="Calibri"/>
                <w:color w:val="000000"/>
                <w:sz w:val="16"/>
                <w:szCs w:val="20"/>
                <w:lang w:eastAsia="en-GB"/>
              </w:rPr>
              <w:t>Brasil</w:t>
            </w:r>
            <w:proofErr w:type="spellEnd"/>
          </w:p>
        </w:tc>
        <w:tc>
          <w:tcPr>
            <w:tcW w:w="1447"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4394"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China</w:t>
            </w:r>
          </w:p>
        </w:tc>
        <w:tc>
          <w:tcPr>
            <w:tcW w:w="1447"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4394"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India</w:t>
            </w:r>
          </w:p>
        </w:tc>
        <w:tc>
          <w:tcPr>
            <w:tcW w:w="1447"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4394" w:type="dxa"/>
            <w:shd w:val="clear" w:color="auto" w:fill="auto"/>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2659" w:type="dxa"/>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6629" w:type="dxa"/>
            <w:gridSpan w:val="3"/>
            <w:shd w:val="clear" w:color="auto" w:fill="CCC0D9"/>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Financial org</w:t>
            </w:r>
          </w:p>
        </w:tc>
        <w:tc>
          <w:tcPr>
            <w:tcW w:w="2659" w:type="dxa"/>
            <w:shd w:val="clear" w:color="auto" w:fill="CCC0D9"/>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roofErr w:type="spellStart"/>
            <w:r w:rsidRPr="00B241BC">
              <w:rPr>
                <w:rFonts w:eastAsia="Times New Roman" w:cs="Calibri"/>
                <w:color w:val="000000"/>
                <w:sz w:val="16"/>
                <w:szCs w:val="20"/>
                <w:lang w:eastAsia="en-GB"/>
              </w:rPr>
              <w:t>Financ</w:t>
            </w:r>
            <w:proofErr w:type="spellEnd"/>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ADB</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 xml:space="preserve">Asian Bank </w:t>
            </w:r>
            <w:proofErr w:type="spellStart"/>
            <w:r w:rsidRPr="00B241BC">
              <w:rPr>
                <w:rFonts w:eastAsia="Times New Roman" w:cs="Calibri"/>
                <w:color w:val="000000"/>
                <w:sz w:val="16"/>
                <w:szCs w:val="20"/>
                <w:lang w:eastAsia="en-GB"/>
              </w:rPr>
              <w:t>Dev</w:t>
            </w:r>
            <w:proofErr w:type="spellEnd"/>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roofErr w:type="spellStart"/>
            <w:r w:rsidRPr="00B241BC">
              <w:rPr>
                <w:rFonts w:eastAsia="Times New Roman" w:cs="Calibri"/>
                <w:color w:val="000000"/>
                <w:sz w:val="16"/>
                <w:szCs w:val="20"/>
                <w:lang w:eastAsia="en-GB"/>
              </w:rPr>
              <w:t>Financ</w:t>
            </w:r>
            <w:proofErr w:type="spellEnd"/>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IADB</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proofErr w:type="spellStart"/>
            <w:r w:rsidRPr="00B241BC">
              <w:rPr>
                <w:rFonts w:eastAsia="Times New Roman" w:cs="Calibri"/>
                <w:sz w:val="16"/>
                <w:szCs w:val="20"/>
                <w:lang w:eastAsia="en-GB"/>
              </w:rPr>
              <w:t>InterAmerica</w:t>
            </w:r>
            <w:proofErr w:type="spellEnd"/>
            <w:r w:rsidRPr="00B241BC">
              <w:rPr>
                <w:rFonts w:eastAsia="Times New Roman" w:cs="Calibri"/>
                <w:sz w:val="16"/>
                <w:szCs w:val="20"/>
                <w:lang w:eastAsia="en-GB"/>
              </w:rPr>
              <w:t xml:space="preserve"> </w:t>
            </w:r>
            <w:proofErr w:type="spellStart"/>
            <w:r w:rsidRPr="00B241BC">
              <w:rPr>
                <w:rFonts w:eastAsia="Times New Roman" w:cs="Calibri"/>
                <w:sz w:val="16"/>
                <w:szCs w:val="20"/>
                <w:lang w:eastAsia="en-GB"/>
              </w:rPr>
              <w:t>Dev</w:t>
            </w:r>
            <w:proofErr w:type="spellEnd"/>
            <w:r w:rsidRPr="00B241BC">
              <w:rPr>
                <w:rFonts w:eastAsia="Times New Roman" w:cs="Calibri"/>
                <w:sz w:val="16"/>
                <w:szCs w:val="20"/>
                <w:lang w:eastAsia="en-GB"/>
              </w:rPr>
              <w:t xml:space="preserve"> Bank</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roofErr w:type="spellStart"/>
            <w:r w:rsidRPr="00B241BC">
              <w:rPr>
                <w:rFonts w:eastAsia="Times New Roman" w:cs="Calibri"/>
                <w:color w:val="000000"/>
                <w:sz w:val="16"/>
                <w:szCs w:val="20"/>
                <w:lang w:eastAsia="en-GB"/>
              </w:rPr>
              <w:t>Financ</w:t>
            </w:r>
            <w:proofErr w:type="spellEnd"/>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proofErr w:type="spellStart"/>
            <w:r w:rsidRPr="00B241BC">
              <w:rPr>
                <w:rFonts w:eastAsia="Times New Roman" w:cs="Calibri"/>
                <w:sz w:val="16"/>
                <w:szCs w:val="20"/>
                <w:lang w:eastAsia="en-GB"/>
              </w:rPr>
              <w:t>KfW</w:t>
            </w:r>
            <w:proofErr w:type="spellEnd"/>
          </w:p>
        </w:tc>
        <w:tc>
          <w:tcPr>
            <w:tcW w:w="4394" w:type="dxa"/>
            <w:shd w:val="clear" w:color="auto" w:fill="auto"/>
            <w:vAlign w:val="center"/>
          </w:tcPr>
          <w:p w:rsidR="0091242D" w:rsidRPr="00B241BC" w:rsidRDefault="0091242D" w:rsidP="007B4B09">
            <w:pPr>
              <w:spacing w:after="0" w:line="240" w:lineRule="auto"/>
              <w:contextualSpacing/>
              <w:rPr>
                <w:rFonts w:eastAsia="Times New Roman" w:cs="Calibri"/>
                <w:sz w:val="16"/>
                <w:szCs w:val="20"/>
                <w:lang w:eastAsia="en-GB"/>
              </w:rPr>
            </w:pPr>
            <w:proofErr w:type="spellStart"/>
            <w:r w:rsidRPr="00B241BC">
              <w:rPr>
                <w:rFonts w:eastAsia="Times New Roman" w:cs="Calibri"/>
                <w:sz w:val="16"/>
                <w:szCs w:val="20"/>
                <w:lang w:eastAsia="en-GB"/>
              </w:rPr>
              <w:t>KfW</w:t>
            </w:r>
            <w:proofErr w:type="spellEnd"/>
            <w:r w:rsidRPr="00B241BC">
              <w:rPr>
                <w:rFonts w:eastAsia="Times New Roman" w:cs="Calibri"/>
                <w:sz w:val="16"/>
                <w:szCs w:val="20"/>
                <w:lang w:eastAsia="en-GB"/>
              </w:rPr>
              <w:t xml:space="preserve"> </w:t>
            </w:r>
            <w:proofErr w:type="spellStart"/>
            <w:r w:rsidRPr="00B241BC">
              <w:rPr>
                <w:rFonts w:eastAsia="Times New Roman" w:cs="Calibri"/>
                <w:sz w:val="16"/>
                <w:szCs w:val="20"/>
                <w:lang w:eastAsia="en-GB"/>
              </w:rPr>
              <w:t>Entwicklungsbank</w:t>
            </w:r>
            <w:proofErr w:type="spellEnd"/>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roofErr w:type="spellStart"/>
            <w:r w:rsidRPr="00B241BC">
              <w:rPr>
                <w:rFonts w:eastAsia="Times New Roman" w:cs="Calibri"/>
                <w:color w:val="000000"/>
                <w:sz w:val="16"/>
                <w:szCs w:val="20"/>
                <w:lang w:eastAsia="en-GB"/>
              </w:rPr>
              <w:t>Financ</w:t>
            </w:r>
            <w:proofErr w:type="spellEnd"/>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 xml:space="preserve">AFD </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roofErr w:type="spellStart"/>
            <w:r w:rsidRPr="00B241BC">
              <w:rPr>
                <w:rFonts w:eastAsia="Times New Roman" w:cs="Calibri"/>
                <w:color w:val="000000"/>
                <w:sz w:val="16"/>
                <w:szCs w:val="20"/>
                <w:lang w:eastAsia="en-GB"/>
              </w:rPr>
              <w:t>Agence</w:t>
            </w:r>
            <w:proofErr w:type="spellEnd"/>
            <w:r w:rsidRPr="00B241BC">
              <w:rPr>
                <w:rFonts w:eastAsia="Times New Roman" w:cs="Calibri"/>
                <w:color w:val="000000"/>
                <w:sz w:val="16"/>
                <w:szCs w:val="20"/>
                <w:lang w:eastAsia="en-GB"/>
              </w:rPr>
              <w:t xml:space="preserve"> </w:t>
            </w:r>
            <w:proofErr w:type="spellStart"/>
            <w:r w:rsidRPr="00B241BC">
              <w:rPr>
                <w:rFonts w:eastAsia="Times New Roman" w:cs="Calibri"/>
                <w:color w:val="000000"/>
                <w:sz w:val="16"/>
                <w:szCs w:val="20"/>
                <w:lang w:eastAsia="en-GB"/>
              </w:rPr>
              <w:t>Française</w:t>
            </w:r>
            <w:proofErr w:type="spellEnd"/>
            <w:r w:rsidRPr="00B241BC">
              <w:rPr>
                <w:rFonts w:eastAsia="Times New Roman" w:cs="Calibri"/>
                <w:color w:val="000000"/>
                <w:sz w:val="16"/>
                <w:szCs w:val="20"/>
                <w:lang w:eastAsia="en-GB"/>
              </w:rPr>
              <w:t xml:space="preserve"> de </w:t>
            </w:r>
            <w:proofErr w:type="spellStart"/>
            <w:r w:rsidRPr="00B241BC">
              <w:rPr>
                <w:rFonts w:eastAsia="Times New Roman" w:cs="Calibri"/>
                <w:color w:val="000000"/>
                <w:sz w:val="16"/>
                <w:szCs w:val="20"/>
                <w:lang w:eastAsia="en-GB"/>
              </w:rPr>
              <w:t>Développement</w:t>
            </w:r>
            <w:proofErr w:type="spellEnd"/>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roofErr w:type="spellStart"/>
            <w:r w:rsidRPr="00B241BC">
              <w:rPr>
                <w:rFonts w:eastAsia="Times New Roman" w:cs="Calibri"/>
                <w:color w:val="000000"/>
                <w:sz w:val="16"/>
                <w:szCs w:val="20"/>
                <w:lang w:eastAsia="en-GB"/>
              </w:rPr>
              <w:t>Financ</w:t>
            </w:r>
            <w:proofErr w:type="spellEnd"/>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sz w:val="16"/>
                <w:szCs w:val="20"/>
                <w:lang w:eastAsia="en-GB"/>
              </w:rPr>
              <w:t>WB</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 xml:space="preserve">World Bank </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roofErr w:type="spellStart"/>
            <w:r w:rsidRPr="00B241BC">
              <w:rPr>
                <w:rFonts w:eastAsia="Times New Roman" w:cs="Calibri"/>
                <w:color w:val="000000"/>
                <w:sz w:val="16"/>
                <w:szCs w:val="20"/>
                <w:lang w:eastAsia="en-GB"/>
              </w:rPr>
              <w:t>Financ</w:t>
            </w:r>
            <w:proofErr w:type="spellEnd"/>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AFDB.ORG</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African Bank Development</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6629" w:type="dxa"/>
            <w:gridSpan w:val="3"/>
            <w:shd w:val="clear" w:color="auto" w:fill="CCC0D9"/>
            <w:noWrap/>
            <w:vAlign w:val="center"/>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Agenc</w:t>
            </w:r>
            <w:r>
              <w:rPr>
                <w:rFonts w:eastAsia="Times New Roman" w:cs="Calibri"/>
                <w:color w:val="000000"/>
                <w:sz w:val="16"/>
                <w:szCs w:val="20"/>
                <w:lang w:eastAsia="en-GB"/>
              </w:rPr>
              <w:t>i</w:t>
            </w:r>
            <w:r w:rsidRPr="00B241BC">
              <w:rPr>
                <w:rFonts w:eastAsia="Times New Roman" w:cs="Calibri"/>
                <w:color w:val="000000"/>
                <w:sz w:val="16"/>
                <w:szCs w:val="20"/>
                <w:lang w:eastAsia="en-GB"/>
              </w:rPr>
              <w:t>es</w:t>
            </w:r>
          </w:p>
        </w:tc>
        <w:tc>
          <w:tcPr>
            <w:tcW w:w="2659" w:type="dxa"/>
            <w:shd w:val="clear" w:color="auto" w:fill="CCC0D9"/>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AU</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AUSAID</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Australian AID</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3F523F"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DE</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giz.de</w:t>
            </w:r>
          </w:p>
        </w:tc>
        <w:tc>
          <w:tcPr>
            <w:tcW w:w="4394" w:type="dxa"/>
            <w:shd w:val="clear" w:color="auto" w:fill="auto"/>
            <w:noWrap/>
            <w:vAlign w:val="center"/>
            <w:hideMark/>
          </w:tcPr>
          <w:p w:rsidR="0091242D" w:rsidRPr="00B241BC" w:rsidRDefault="0091242D" w:rsidP="00FC1B8D">
            <w:pPr>
              <w:spacing w:after="0" w:line="240" w:lineRule="auto"/>
              <w:contextualSpacing/>
              <w:rPr>
                <w:rFonts w:eastAsia="Times New Roman" w:cs="Calibri"/>
                <w:color w:val="000000"/>
                <w:sz w:val="16"/>
                <w:szCs w:val="20"/>
                <w:lang w:val="de-DE" w:eastAsia="en-GB"/>
              </w:rPr>
            </w:pPr>
            <w:r w:rsidRPr="00B241BC">
              <w:rPr>
                <w:rFonts w:eastAsia="Times New Roman" w:cs="Calibri"/>
                <w:color w:val="000000"/>
                <w:sz w:val="16"/>
                <w:szCs w:val="20"/>
                <w:lang w:val="de-DE" w:eastAsia="en-GB"/>
              </w:rPr>
              <w:t xml:space="preserve">Deutsche Gesellschaft für Technische </w:t>
            </w:r>
            <w:r w:rsidR="00FC1B8D">
              <w:rPr>
                <w:rFonts w:eastAsia="Times New Roman" w:cs="Calibri"/>
                <w:color w:val="000000"/>
                <w:sz w:val="16"/>
                <w:szCs w:val="20"/>
                <w:lang w:val="de-DE" w:eastAsia="en-GB"/>
              </w:rPr>
              <w:t>Zusammenarbeit (</w:t>
            </w:r>
            <w:r w:rsidRPr="00B241BC">
              <w:rPr>
                <w:rFonts w:eastAsia="Times New Roman" w:cs="Calibri"/>
                <w:color w:val="000000"/>
                <w:sz w:val="16"/>
                <w:szCs w:val="20"/>
                <w:lang w:val="de-DE" w:eastAsia="en-GB"/>
              </w:rPr>
              <w:t xml:space="preserve"> GIZ</w:t>
            </w:r>
            <w:r w:rsidR="00FC1B8D">
              <w:rPr>
                <w:rFonts w:eastAsia="Times New Roman" w:cs="Calibri"/>
                <w:color w:val="000000"/>
                <w:sz w:val="16"/>
                <w:szCs w:val="20"/>
                <w:lang w:val="de-DE" w:eastAsia="en-GB"/>
              </w:rPr>
              <w:t>)</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val="de-DE"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FR</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roofErr w:type="spellStart"/>
            <w:r w:rsidRPr="00B241BC">
              <w:rPr>
                <w:rFonts w:eastAsia="Times New Roman" w:cs="Calibri"/>
                <w:color w:val="000000"/>
                <w:sz w:val="16"/>
                <w:szCs w:val="20"/>
                <w:lang w:eastAsia="en-GB"/>
              </w:rPr>
              <w:t>Agreenium</w:t>
            </w:r>
            <w:proofErr w:type="spellEnd"/>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 </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INT</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CGIAR.ORG</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 </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INT</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fao.org</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 xml:space="preserve">Food and Agriculture Organization (FAO) </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INT</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ifad.org</w:t>
            </w:r>
          </w:p>
        </w:tc>
        <w:tc>
          <w:tcPr>
            <w:tcW w:w="4394" w:type="dxa"/>
            <w:shd w:val="clear" w:color="auto" w:fill="auto"/>
            <w:noWrap/>
            <w:vAlign w:val="center"/>
            <w:hideMark/>
          </w:tcPr>
          <w:p w:rsidR="0091242D" w:rsidRPr="005B5145" w:rsidRDefault="0091242D" w:rsidP="007B4B09">
            <w:pPr>
              <w:spacing w:after="0" w:line="240" w:lineRule="auto"/>
              <w:contextualSpacing/>
              <w:rPr>
                <w:rFonts w:eastAsia="Times New Roman" w:cs="Calibri"/>
                <w:bCs/>
                <w:sz w:val="16"/>
                <w:szCs w:val="20"/>
                <w:lang w:eastAsia="en-GB"/>
              </w:rPr>
            </w:pPr>
            <w:r w:rsidRPr="005B5145">
              <w:rPr>
                <w:rFonts w:eastAsia="Times New Roman" w:cs="Calibri"/>
                <w:bCs/>
                <w:sz w:val="16"/>
                <w:szCs w:val="20"/>
                <w:lang w:eastAsia="en-GB"/>
              </w:rPr>
              <w:t xml:space="preserve">International Fund for Agricultural Development (IFAD) </w:t>
            </w:r>
          </w:p>
        </w:tc>
        <w:tc>
          <w:tcPr>
            <w:tcW w:w="2659" w:type="dxa"/>
            <w:shd w:val="clear" w:color="auto" w:fill="auto"/>
          </w:tcPr>
          <w:p w:rsidR="0091242D" w:rsidRPr="00B241BC" w:rsidRDefault="0091242D" w:rsidP="007B4B09">
            <w:pPr>
              <w:spacing w:after="0" w:line="240" w:lineRule="auto"/>
              <w:contextualSpacing/>
              <w:rPr>
                <w:rFonts w:eastAsia="Times New Roman" w:cs="Calibri"/>
                <w:b/>
                <w:bCs/>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INT</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undp.org</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INT</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wfp.org</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 xml:space="preserve">World Food Program </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INT</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global-mechanism.org</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Global Mechanism</w:t>
            </w:r>
          </w:p>
        </w:tc>
        <w:tc>
          <w:tcPr>
            <w:tcW w:w="2659" w:type="dxa"/>
            <w:shd w:val="clear" w:color="auto" w:fill="auto"/>
          </w:tcPr>
          <w:p w:rsidR="0091242D" w:rsidRPr="00B241BC" w:rsidRDefault="0091242D" w:rsidP="007B4B09">
            <w:pPr>
              <w:spacing w:after="0" w:line="240" w:lineRule="auto"/>
              <w:contextualSpacing/>
              <w:rPr>
                <w:rFonts w:eastAsia="Times New Roman" w:cs="Calibri"/>
                <w:color w:val="000000"/>
                <w:sz w:val="16"/>
                <w:szCs w:val="20"/>
                <w:lang w:eastAsia="en-GB"/>
              </w:rPr>
            </w:pPr>
          </w:p>
        </w:tc>
      </w:tr>
      <w:tr w:rsidR="0091242D" w:rsidRPr="00B241BC" w:rsidTr="00FC1B8D">
        <w:trPr>
          <w:trHeight w:val="227"/>
        </w:trPr>
        <w:tc>
          <w:tcPr>
            <w:tcW w:w="788"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NO</w:t>
            </w:r>
          </w:p>
        </w:tc>
        <w:tc>
          <w:tcPr>
            <w:tcW w:w="1447" w:type="dxa"/>
            <w:shd w:val="clear" w:color="auto" w:fill="auto"/>
            <w:noWrap/>
            <w:vAlign w:val="center"/>
            <w:hideMark/>
          </w:tcPr>
          <w:p w:rsidR="0091242D" w:rsidRPr="00B241BC" w:rsidRDefault="0091242D" w:rsidP="007B4B09">
            <w:pPr>
              <w:spacing w:after="0" w:line="240" w:lineRule="auto"/>
              <w:contextualSpacing/>
              <w:rPr>
                <w:rFonts w:eastAsia="Times New Roman" w:cs="Calibri"/>
                <w:color w:val="000000"/>
                <w:sz w:val="16"/>
                <w:szCs w:val="20"/>
                <w:lang w:eastAsia="en-GB"/>
              </w:rPr>
            </w:pPr>
            <w:r w:rsidRPr="00B241BC">
              <w:rPr>
                <w:rFonts w:eastAsia="Times New Roman" w:cs="Calibri"/>
                <w:color w:val="000000"/>
                <w:sz w:val="16"/>
                <w:szCs w:val="20"/>
                <w:lang w:eastAsia="en-GB"/>
              </w:rPr>
              <w:t>norad.no</w:t>
            </w:r>
          </w:p>
        </w:tc>
        <w:tc>
          <w:tcPr>
            <w:tcW w:w="4394" w:type="dxa"/>
            <w:shd w:val="clear" w:color="auto" w:fill="auto"/>
            <w:noWrap/>
            <w:vAlign w:val="center"/>
            <w:hideMark/>
          </w:tcPr>
          <w:p w:rsidR="0091242D" w:rsidRPr="00B241BC" w:rsidRDefault="0091242D" w:rsidP="007B4B09">
            <w:pPr>
              <w:spacing w:after="0" w:line="240" w:lineRule="auto"/>
              <w:contextualSpacing/>
              <w:rPr>
                <w:rFonts w:eastAsia="Times New Roman" w:cs="Calibri"/>
                <w:sz w:val="16"/>
                <w:szCs w:val="20"/>
                <w:lang w:eastAsia="en-GB"/>
              </w:rPr>
            </w:pPr>
            <w:r w:rsidRPr="00B241BC">
              <w:rPr>
                <w:rFonts w:eastAsia="Times New Roman" w:cs="Calibri"/>
                <w:sz w:val="16"/>
                <w:szCs w:val="20"/>
                <w:lang w:eastAsia="en-GB"/>
              </w:rPr>
              <w:t>Norwegian Agency for Development Cooperation (</w:t>
            </w:r>
            <w:proofErr w:type="spellStart"/>
            <w:r w:rsidRPr="00B241BC">
              <w:rPr>
                <w:rFonts w:eastAsia="Times New Roman" w:cs="Calibri"/>
                <w:sz w:val="16"/>
                <w:szCs w:val="20"/>
                <w:lang w:eastAsia="en-GB"/>
              </w:rPr>
              <w:t>Norad</w:t>
            </w:r>
            <w:proofErr w:type="spellEnd"/>
            <w:r w:rsidRPr="00B241BC">
              <w:rPr>
                <w:rFonts w:eastAsia="Times New Roman" w:cs="Calibri"/>
                <w:sz w:val="16"/>
                <w:szCs w:val="20"/>
                <w:lang w:eastAsia="en-GB"/>
              </w:rPr>
              <w:t>)</w:t>
            </w:r>
          </w:p>
        </w:tc>
        <w:tc>
          <w:tcPr>
            <w:tcW w:w="2659" w:type="dxa"/>
            <w:shd w:val="clear" w:color="auto" w:fill="auto"/>
          </w:tcPr>
          <w:p w:rsidR="0091242D" w:rsidRPr="00B241BC" w:rsidRDefault="0091242D" w:rsidP="007B4B09">
            <w:pPr>
              <w:spacing w:after="0" w:line="240" w:lineRule="auto"/>
              <w:contextualSpacing/>
              <w:rPr>
                <w:rFonts w:eastAsia="Times New Roman" w:cs="Calibri"/>
                <w:sz w:val="16"/>
                <w:szCs w:val="20"/>
                <w:lang w:eastAsia="en-GB"/>
              </w:rPr>
            </w:pPr>
          </w:p>
        </w:tc>
      </w:tr>
    </w:tbl>
    <w:p w:rsidR="00414906" w:rsidRPr="0091242D" w:rsidRDefault="00414906" w:rsidP="0091242D"/>
    <w:sectPr w:rsidR="00414906" w:rsidRPr="0091242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42D" w:rsidRDefault="0091242D" w:rsidP="00190069">
      <w:pPr>
        <w:spacing w:after="0" w:line="240" w:lineRule="auto"/>
      </w:pPr>
      <w:r>
        <w:separator/>
      </w:r>
    </w:p>
  </w:endnote>
  <w:endnote w:type="continuationSeparator" w:id="0">
    <w:p w:rsidR="0091242D" w:rsidRDefault="0091242D" w:rsidP="00190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44F" w:rsidRPr="009F12A7" w:rsidRDefault="009F12A7" w:rsidP="009F12A7">
    <w:pPr>
      <w:pStyle w:val="Footer"/>
      <w:rPr>
        <w:color w:val="EEECE1" w:themeColor="background2"/>
      </w:rPr>
    </w:pPr>
    <w:r w:rsidRPr="009F12A7">
      <w:rPr>
        <w:color w:val="EEECE1" w:themeColor="background2"/>
        <w:sz w:val="14"/>
      </w:rPr>
      <w:t>U:\04. FOOD SECURITY\04.1 RURAL DEV\5. CAADP\DPTT\DPTT meetings\SOM\concept note-senior officer DPTT-v4.doc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42D" w:rsidRDefault="0091242D" w:rsidP="00190069">
      <w:pPr>
        <w:spacing w:after="0" w:line="240" w:lineRule="auto"/>
      </w:pPr>
      <w:r>
        <w:separator/>
      </w:r>
    </w:p>
  </w:footnote>
  <w:footnote w:type="continuationSeparator" w:id="0">
    <w:p w:rsidR="0091242D" w:rsidRDefault="0091242D" w:rsidP="00190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44F" w:rsidRPr="0091242D" w:rsidRDefault="0091242D" w:rsidP="0091242D">
    <w:pPr>
      <w:pStyle w:val="Header"/>
      <w:rPr>
        <w:color w:val="EEECE1"/>
        <w:sz w:val="14"/>
        <w:lang w:val="fr-BE"/>
      </w:rPr>
    </w:pPr>
    <w:r w:rsidRPr="006B4001">
      <w:rPr>
        <w:color w:val="EEECE1"/>
        <w:sz w:val="14"/>
        <w:lang w:val="fr-BE"/>
      </w:rPr>
      <w:t>MHN</w:t>
    </w:r>
    <w:r w:rsidRPr="006B4001">
      <w:rPr>
        <w:color w:val="EEECE1"/>
        <w:sz w:val="14"/>
        <w:lang w:val="fr-BE"/>
      </w:rPr>
      <w:tab/>
    </w:r>
    <w:r w:rsidR="009F12A7">
      <w:rPr>
        <w:color w:val="EEECE1"/>
        <w:sz w:val="14"/>
        <w:lang w:val="fr-BE"/>
      </w:rPr>
      <w:t>10JUl2014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D2D8D"/>
    <w:multiLevelType w:val="hybridMultilevel"/>
    <w:tmpl w:val="53BA91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7477EBD"/>
    <w:multiLevelType w:val="hybridMultilevel"/>
    <w:tmpl w:val="BA7EEE8A"/>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2E5286A"/>
    <w:multiLevelType w:val="hybridMultilevel"/>
    <w:tmpl w:val="2A72B14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AF480A6C">
      <w:start w:val="1"/>
      <w:numFmt w:val="bullet"/>
      <w:lvlText w:val=""/>
      <w:lvlJc w:val="left"/>
      <w:pPr>
        <w:ind w:left="1800" w:hanging="180"/>
      </w:pPr>
      <w:rPr>
        <w:rFonts w:ascii="Symbol" w:hAnsi="Symbol"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3B347156"/>
    <w:multiLevelType w:val="hybridMultilevel"/>
    <w:tmpl w:val="625E17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F2B1A13"/>
    <w:multiLevelType w:val="hybridMultilevel"/>
    <w:tmpl w:val="7C6E128E"/>
    <w:lvl w:ilvl="0" w:tplc="0809000F">
      <w:start w:val="1"/>
      <w:numFmt w:val="decimal"/>
      <w:lvlText w:val="%1."/>
      <w:lvlJc w:val="left"/>
      <w:pPr>
        <w:ind w:left="360" w:hanging="360"/>
      </w:pPr>
      <w:rPr>
        <w:rFonts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nsid w:val="47043982"/>
    <w:multiLevelType w:val="hybridMultilevel"/>
    <w:tmpl w:val="076C303A"/>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
    <w:nsid w:val="574A78E2"/>
    <w:multiLevelType w:val="hybridMultilevel"/>
    <w:tmpl w:val="B0401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B702AC5"/>
    <w:multiLevelType w:val="hybridMultilevel"/>
    <w:tmpl w:val="01DA43DA"/>
    <w:lvl w:ilvl="0" w:tplc="1A8CB80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3"/>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0C4C"/>
    <w:rsid w:val="00015195"/>
    <w:rsid w:val="00042322"/>
    <w:rsid w:val="00055964"/>
    <w:rsid w:val="00075EF9"/>
    <w:rsid w:val="000B579C"/>
    <w:rsid w:val="000C7076"/>
    <w:rsid w:val="00123F80"/>
    <w:rsid w:val="00190069"/>
    <w:rsid w:val="001B263D"/>
    <w:rsid w:val="00243933"/>
    <w:rsid w:val="00272D6D"/>
    <w:rsid w:val="002C0816"/>
    <w:rsid w:val="003D4299"/>
    <w:rsid w:val="00414906"/>
    <w:rsid w:val="004234B4"/>
    <w:rsid w:val="004B621A"/>
    <w:rsid w:val="005244CC"/>
    <w:rsid w:val="005746C2"/>
    <w:rsid w:val="00583261"/>
    <w:rsid w:val="005B4ED3"/>
    <w:rsid w:val="005B5145"/>
    <w:rsid w:val="005B6F6E"/>
    <w:rsid w:val="00665E68"/>
    <w:rsid w:val="00715A3F"/>
    <w:rsid w:val="00741D96"/>
    <w:rsid w:val="007A2FB2"/>
    <w:rsid w:val="007F144F"/>
    <w:rsid w:val="00865C04"/>
    <w:rsid w:val="00890375"/>
    <w:rsid w:val="008B0014"/>
    <w:rsid w:val="008B0769"/>
    <w:rsid w:val="008B1D5B"/>
    <w:rsid w:val="008E070B"/>
    <w:rsid w:val="008E3F56"/>
    <w:rsid w:val="00906C71"/>
    <w:rsid w:val="00912168"/>
    <w:rsid w:val="0091242D"/>
    <w:rsid w:val="00921EF3"/>
    <w:rsid w:val="00962A89"/>
    <w:rsid w:val="009A6344"/>
    <w:rsid w:val="009D0C76"/>
    <w:rsid w:val="009F12A7"/>
    <w:rsid w:val="00A630E9"/>
    <w:rsid w:val="00AF393E"/>
    <w:rsid w:val="00CC77F1"/>
    <w:rsid w:val="00D0702F"/>
    <w:rsid w:val="00D72B75"/>
    <w:rsid w:val="00D95D67"/>
    <w:rsid w:val="00D979B9"/>
    <w:rsid w:val="00DA2FBC"/>
    <w:rsid w:val="00DC6358"/>
    <w:rsid w:val="00E97303"/>
    <w:rsid w:val="00EB1D76"/>
    <w:rsid w:val="00F329D5"/>
    <w:rsid w:val="00F364A5"/>
    <w:rsid w:val="00F37697"/>
    <w:rsid w:val="00F410B9"/>
    <w:rsid w:val="00F90BF6"/>
    <w:rsid w:val="00FB0C4C"/>
    <w:rsid w:val="00FC1B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69"/>
    <w:pPr>
      <w:tabs>
        <w:tab w:val="center" w:pos="4536"/>
        <w:tab w:val="right" w:pos="9072"/>
      </w:tabs>
    </w:pPr>
  </w:style>
  <w:style w:type="character" w:customStyle="1" w:styleId="HeaderChar">
    <w:name w:val="Header Char"/>
    <w:link w:val="Header"/>
    <w:uiPriority w:val="99"/>
    <w:rsid w:val="00190069"/>
    <w:rPr>
      <w:sz w:val="22"/>
      <w:szCs w:val="22"/>
      <w:lang w:eastAsia="en-US"/>
    </w:rPr>
  </w:style>
  <w:style w:type="paragraph" w:styleId="Footer">
    <w:name w:val="footer"/>
    <w:basedOn w:val="Normal"/>
    <w:link w:val="FooterChar"/>
    <w:uiPriority w:val="99"/>
    <w:unhideWhenUsed/>
    <w:rsid w:val="00190069"/>
    <w:pPr>
      <w:tabs>
        <w:tab w:val="center" w:pos="4536"/>
        <w:tab w:val="right" w:pos="9072"/>
      </w:tabs>
    </w:pPr>
  </w:style>
  <w:style w:type="character" w:customStyle="1" w:styleId="FooterChar">
    <w:name w:val="Footer Char"/>
    <w:link w:val="Footer"/>
    <w:uiPriority w:val="99"/>
    <w:rsid w:val="00190069"/>
    <w:rPr>
      <w:sz w:val="22"/>
      <w:szCs w:val="22"/>
      <w:lang w:eastAsia="en-US"/>
    </w:rPr>
  </w:style>
  <w:style w:type="paragraph" w:styleId="BalloonText">
    <w:name w:val="Balloon Text"/>
    <w:basedOn w:val="Normal"/>
    <w:link w:val="BalloonTextChar"/>
    <w:uiPriority w:val="99"/>
    <w:semiHidden/>
    <w:unhideWhenUsed/>
    <w:rsid w:val="001900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90069"/>
    <w:rPr>
      <w:rFonts w:ascii="Tahoma" w:hAnsi="Tahoma" w:cs="Tahoma"/>
      <w:sz w:val="16"/>
      <w:szCs w:val="16"/>
      <w:lang w:eastAsia="en-US"/>
    </w:rPr>
  </w:style>
  <w:style w:type="paragraph" w:styleId="ListParagraph">
    <w:name w:val="List Paragraph"/>
    <w:basedOn w:val="Normal"/>
    <w:uiPriority w:val="34"/>
    <w:qFormat/>
    <w:rsid w:val="008B0769"/>
    <w:pPr>
      <w:ind w:left="720"/>
      <w:contextualSpacing/>
    </w:pPr>
    <w:rPr>
      <w:rFonts w:ascii="Arial" w:hAnsi="Arial"/>
      <w:lang w:val="fr-CA"/>
    </w:rPr>
  </w:style>
  <w:style w:type="paragraph" w:customStyle="1" w:styleId="WasafiriContentText">
    <w:name w:val="Wasafiri Content Text"/>
    <w:basedOn w:val="Normal"/>
    <w:rsid w:val="008B0769"/>
    <w:pPr>
      <w:spacing w:after="0" w:line="240" w:lineRule="auto"/>
      <w:jc w:val="both"/>
    </w:pPr>
    <w:rPr>
      <w:rFonts w:ascii="Helvetica" w:eastAsia="Times New Roman" w:hAnsi="Helvetica"/>
      <w:szCs w:val="20"/>
    </w:rPr>
  </w:style>
  <w:style w:type="paragraph" w:styleId="FootnoteText">
    <w:name w:val="footnote text"/>
    <w:basedOn w:val="Normal"/>
    <w:link w:val="FootnoteTextChar"/>
    <w:uiPriority w:val="99"/>
    <w:semiHidden/>
    <w:unhideWhenUsed/>
    <w:rsid w:val="007F144F"/>
    <w:pPr>
      <w:spacing w:after="0" w:line="240" w:lineRule="auto"/>
    </w:pPr>
    <w:rPr>
      <w:sz w:val="20"/>
      <w:szCs w:val="20"/>
    </w:rPr>
  </w:style>
  <w:style w:type="character" w:customStyle="1" w:styleId="FootnoteTextChar">
    <w:name w:val="Footnote Text Char"/>
    <w:link w:val="FootnoteText"/>
    <w:uiPriority w:val="99"/>
    <w:semiHidden/>
    <w:rsid w:val="007F144F"/>
    <w:rPr>
      <w:lang w:eastAsia="en-US"/>
    </w:rPr>
  </w:style>
  <w:style w:type="character" w:styleId="FootnoteReference">
    <w:name w:val="footnote reference"/>
    <w:uiPriority w:val="99"/>
    <w:semiHidden/>
    <w:unhideWhenUsed/>
    <w:rsid w:val="007F144F"/>
    <w:rPr>
      <w:vertAlign w:val="superscript"/>
    </w:rPr>
  </w:style>
  <w:style w:type="paragraph" w:styleId="PlainText">
    <w:name w:val="Plain Text"/>
    <w:basedOn w:val="Normal"/>
    <w:link w:val="PlainTextChar"/>
    <w:uiPriority w:val="99"/>
    <w:unhideWhenUsed/>
    <w:rsid w:val="0091242D"/>
    <w:pPr>
      <w:spacing w:after="0" w:line="240" w:lineRule="auto"/>
    </w:pPr>
    <w:rPr>
      <w:szCs w:val="21"/>
    </w:rPr>
  </w:style>
  <w:style w:type="character" w:customStyle="1" w:styleId="PlainTextChar">
    <w:name w:val="Plain Text Char"/>
    <w:basedOn w:val="DefaultParagraphFont"/>
    <w:link w:val="PlainText"/>
    <w:uiPriority w:val="99"/>
    <w:rsid w:val="0091242D"/>
    <w:rPr>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0069"/>
    <w:pPr>
      <w:tabs>
        <w:tab w:val="center" w:pos="4536"/>
        <w:tab w:val="right" w:pos="9072"/>
      </w:tabs>
    </w:pPr>
  </w:style>
  <w:style w:type="character" w:customStyle="1" w:styleId="HeaderChar">
    <w:name w:val="Header Char"/>
    <w:link w:val="Header"/>
    <w:uiPriority w:val="99"/>
    <w:rsid w:val="00190069"/>
    <w:rPr>
      <w:sz w:val="22"/>
      <w:szCs w:val="22"/>
      <w:lang w:eastAsia="en-US"/>
    </w:rPr>
  </w:style>
  <w:style w:type="paragraph" w:styleId="Footer">
    <w:name w:val="footer"/>
    <w:basedOn w:val="Normal"/>
    <w:link w:val="FooterChar"/>
    <w:uiPriority w:val="99"/>
    <w:unhideWhenUsed/>
    <w:rsid w:val="00190069"/>
    <w:pPr>
      <w:tabs>
        <w:tab w:val="center" w:pos="4536"/>
        <w:tab w:val="right" w:pos="9072"/>
      </w:tabs>
    </w:pPr>
  </w:style>
  <w:style w:type="character" w:customStyle="1" w:styleId="FooterChar">
    <w:name w:val="Footer Char"/>
    <w:link w:val="Footer"/>
    <w:uiPriority w:val="99"/>
    <w:rsid w:val="00190069"/>
    <w:rPr>
      <w:sz w:val="22"/>
      <w:szCs w:val="22"/>
      <w:lang w:eastAsia="en-US"/>
    </w:rPr>
  </w:style>
  <w:style w:type="paragraph" w:styleId="BalloonText">
    <w:name w:val="Balloon Text"/>
    <w:basedOn w:val="Normal"/>
    <w:link w:val="BalloonTextChar"/>
    <w:uiPriority w:val="99"/>
    <w:semiHidden/>
    <w:unhideWhenUsed/>
    <w:rsid w:val="001900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90069"/>
    <w:rPr>
      <w:rFonts w:ascii="Tahoma" w:hAnsi="Tahoma" w:cs="Tahoma"/>
      <w:sz w:val="16"/>
      <w:szCs w:val="16"/>
      <w:lang w:eastAsia="en-US"/>
    </w:rPr>
  </w:style>
  <w:style w:type="paragraph" w:styleId="ListParagraph">
    <w:name w:val="List Paragraph"/>
    <w:basedOn w:val="Normal"/>
    <w:uiPriority w:val="34"/>
    <w:qFormat/>
    <w:rsid w:val="008B0769"/>
    <w:pPr>
      <w:ind w:left="720"/>
      <w:contextualSpacing/>
    </w:pPr>
    <w:rPr>
      <w:rFonts w:ascii="Arial" w:hAnsi="Arial"/>
      <w:lang w:val="fr-CA"/>
    </w:rPr>
  </w:style>
  <w:style w:type="paragraph" w:customStyle="1" w:styleId="WasafiriContentText">
    <w:name w:val="Wasafiri Content Text"/>
    <w:basedOn w:val="Normal"/>
    <w:rsid w:val="008B0769"/>
    <w:pPr>
      <w:spacing w:after="0" w:line="240" w:lineRule="auto"/>
      <w:jc w:val="both"/>
    </w:pPr>
    <w:rPr>
      <w:rFonts w:ascii="Helvetica" w:eastAsia="Times New Roman" w:hAnsi="Helvetica"/>
      <w:szCs w:val="20"/>
    </w:rPr>
  </w:style>
  <w:style w:type="paragraph" w:styleId="FootnoteText">
    <w:name w:val="footnote text"/>
    <w:basedOn w:val="Normal"/>
    <w:link w:val="FootnoteTextChar"/>
    <w:uiPriority w:val="99"/>
    <w:semiHidden/>
    <w:unhideWhenUsed/>
    <w:rsid w:val="007F144F"/>
    <w:pPr>
      <w:spacing w:after="0" w:line="240" w:lineRule="auto"/>
    </w:pPr>
    <w:rPr>
      <w:sz w:val="20"/>
      <w:szCs w:val="20"/>
    </w:rPr>
  </w:style>
  <w:style w:type="character" w:customStyle="1" w:styleId="FootnoteTextChar">
    <w:name w:val="Footnote Text Char"/>
    <w:link w:val="FootnoteText"/>
    <w:uiPriority w:val="99"/>
    <w:semiHidden/>
    <w:rsid w:val="007F144F"/>
    <w:rPr>
      <w:lang w:eastAsia="en-US"/>
    </w:rPr>
  </w:style>
  <w:style w:type="character" w:styleId="FootnoteReference">
    <w:name w:val="footnote reference"/>
    <w:uiPriority w:val="99"/>
    <w:semiHidden/>
    <w:unhideWhenUsed/>
    <w:rsid w:val="007F144F"/>
    <w:rPr>
      <w:vertAlign w:val="superscript"/>
    </w:rPr>
  </w:style>
  <w:style w:type="paragraph" w:styleId="PlainText">
    <w:name w:val="Plain Text"/>
    <w:basedOn w:val="Normal"/>
    <w:link w:val="PlainTextChar"/>
    <w:uiPriority w:val="99"/>
    <w:unhideWhenUsed/>
    <w:rsid w:val="0091242D"/>
    <w:pPr>
      <w:spacing w:after="0" w:line="240" w:lineRule="auto"/>
    </w:pPr>
    <w:rPr>
      <w:szCs w:val="21"/>
    </w:rPr>
  </w:style>
  <w:style w:type="character" w:customStyle="1" w:styleId="PlainTextChar">
    <w:name w:val="Plain Text Char"/>
    <w:basedOn w:val="DefaultParagraphFont"/>
    <w:link w:val="PlainText"/>
    <w:uiPriority w:val="99"/>
    <w:rsid w:val="0091242D"/>
    <w:rPr>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1596</Words>
  <Characters>9099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NOVAK Marie Hélène (DEVCO)</dc:creator>
  <cp:lastModifiedBy>NOVAK Marie Hélène (DEVCO)</cp:lastModifiedBy>
  <cp:revision>2</cp:revision>
  <cp:lastPrinted>2014-07-10T08:51:00Z</cp:lastPrinted>
  <dcterms:created xsi:type="dcterms:W3CDTF">2014-07-10T08:53:00Z</dcterms:created>
  <dcterms:modified xsi:type="dcterms:W3CDTF">2014-07-10T08:53:00Z</dcterms:modified>
</cp:coreProperties>
</file>